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8"/>
        <w:spacing w:after="0"/>
        <w:rPr>
          <w:sz w:val="20"/>
          <w:szCs w:val="20"/>
          <w:color w:val="auto"/>
        </w:rPr>
      </w:pPr>
      <w:r>
        <w:rPr>
          <w:rFonts w:ascii="Arial" w:cs="Arial" w:eastAsia="Arial" w:hAnsi="Arial"/>
          <w:sz w:val="19"/>
          <w:szCs w:val="19"/>
          <w:b w:val="1"/>
          <w:bCs w:val="1"/>
          <w:color w:val="auto"/>
        </w:rPr>
        <w:t>UNITED STATES</w:t>
      </w:r>
    </w:p>
    <w:p>
      <w:pPr>
        <w:spacing w:after="0" w:line="37" w:lineRule="exact"/>
        <w:rPr>
          <w:sz w:val="24"/>
          <w:szCs w:val="24"/>
          <w:color w:val="auto"/>
        </w:rPr>
      </w:pPr>
    </w:p>
    <w:p>
      <w:pPr>
        <w:jc w:val="center"/>
        <w:ind w:right="-1078"/>
        <w:spacing w:after="0"/>
        <w:rPr>
          <w:sz w:val="20"/>
          <w:szCs w:val="20"/>
          <w:color w:val="auto"/>
        </w:rPr>
      </w:pPr>
      <w:r>
        <w:rPr>
          <w:rFonts w:ascii="Arial" w:cs="Arial" w:eastAsia="Arial" w:hAnsi="Arial"/>
          <w:sz w:val="19"/>
          <w:szCs w:val="19"/>
          <w:b w:val="1"/>
          <w:bCs w:val="1"/>
          <w:color w:val="auto"/>
        </w:rPr>
        <w:t>SECURITIES AND EXCHANGE COMMISSION</w:t>
      </w:r>
    </w:p>
    <w:p>
      <w:pPr>
        <w:spacing w:after="0" w:line="6" w:lineRule="exact"/>
        <w:rPr>
          <w:sz w:val="24"/>
          <w:szCs w:val="24"/>
          <w:color w:val="auto"/>
        </w:rPr>
      </w:pPr>
    </w:p>
    <w:p>
      <w:pPr>
        <w:ind w:left="4638"/>
        <w:spacing w:after="0"/>
        <w:rPr>
          <w:sz w:val="20"/>
          <w:szCs w:val="20"/>
          <w:color w:val="auto"/>
        </w:rPr>
      </w:pPr>
      <w:r>
        <w:rPr>
          <w:rFonts w:ascii="Arial" w:cs="Arial" w:eastAsia="Arial" w:hAnsi="Arial"/>
          <w:sz w:val="17"/>
          <w:szCs w:val="17"/>
          <w:color w:val="auto"/>
        </w:rPr>
        <w:t>Washington, D.C. 20549</w:t>
      </w:r>
    </w:p>
    <w:p>
      <w:pPr>
        <w:spacing w:after="0" w:line="96" w:lineRule="exact"/>
        <w:rPr>
          <w:sz w:val="24"/>
          <w:szCs w:val="24"/>
          <w:color w:val="auto"/>
        </w:rPr>
      </w:pPr>
    </w:p>
    <w:p>
      <w:pPr>
        <w:jc w:val="center"/>
        <w:ind w:right="-1078"/>
        <w:spacing w:after="0"/>
        <w:rPr>
          <w:sz w:val="20"/>
          <w:szCs w:val="20"/>
          <w:color w:val="auto"/>
        </w:rPr>
      </w:pPr>
      <w:r>
        <w:rPr>
          <w:rFonts w:ascii="Arial" w:cs="Arial" w:eastAsia="Arial" w:hAnsi="Arial"/>
          <w:sz w:val="19"/>
          <w:szCs w:val="19"/>
          <w:b w:val="1"/>
          <w:bCs w:val="1"/>
          <w:color w:val="auto"/>
        </w:rPr>
        <w:t>SCHEDULE 14A</w:t>
      </w:r>
    </w:p>
    <w:p>
      <w:pPr>
        <w:spacing w:after="0" w:line="128" w:lineRule="exact"/>
        <w:rPr>
          <w:sz w:val="24"/>
          <w:szCs w:val="24"/>
          <w:color w:val="auto"/>
        </w:rPr>
      </w:pPr>
    </w:p>
    <w:p>
      <w:pPr>
        <w:jc w:val="center"/>
        <w:ind w:right="-1078"/>
        <w:spacing w:after="0"/>
        <w:rPr>
          <w:sz w:val="20"/>
          <w:szCs w:val="20"/>
          <w:color w:val="auto"/>
        </w:rPr>
      </w:pPr>
      <w:r>
        <w:rPr>
          <w:rFonts w:ascii="Arial" w:cs="Arial" w:eastAsia="Arial" w:hAnsi="Arial"/>
          <w:sz w:val="17"/>
          <w:szCs w:val="17"/>
          <w:color w:val="auto"/>
        </w:rPr>
        <w:t>Proxy Statement Pursuant to Section 14(a) of the Securities Exchange Act of 1934</w:t>
      </w:r>
    </w:p>
    <w:p>
      <w:pPr>
        <w:spacing w:after="0" w:line="30" w:lineRule="exact"/>
        <w:rPr>
          <w:sz w:val="24"/>
          <w:szCs w:val="24"/>
          <w:color w:val="auto"/>
        </w:rPr>
      </w:pPr>
    </w:p>
    <w:p>
      <w:pPr>
        <w:jc w:val="center"/>
        <w:ind w:right="-1078"/>
        <w:spacing w:after="0"/>
        <w:rPr>
          <w:sz w:val="20"/>
          <w:szCs w:val="20"/>
          <w:color w:val="auto"/>
        </w:rPr>
      </w:pPr>
      <w:r>
        <w:rPr>
          <w:rFonts w:ascii="Arial" w:cs="Arial" w:eastAsia="Arial" w:hAnsi="Arial"/>
          <w:sz w:val="17"/>
          <w:szCs w:val="17"/>
          <w:color w:val="auto"/>
        </w:rPr>
        <w:t>(Amendment No. __ )</w:t>
      </w:r>
    </w:p>
    <w:p>
      <w:pPr>
        <w:sectPr>
          <w:pgSz w:w="11900" w:h="16838" w:orient="portrait"/>
          <w:cols w:equalWidth="0" w:num="1">
            <w:col w:w="10117"/>
          </w:cols>
          <w:pgMar w:left="342" w:top="117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1158"/>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133" w:lineRule="exact"/>
        <w:rPr>
          <w:sz w:val="24"/>
          <w:szCs w:val="24"/>
          <w:color w:val="auto"/>
        </w:rPr>
      </w:pPr>
    </w:p>
    <w:p>
      <w:pPr>
        <w:sectPr>
          <w:pgSz w:w="11900" w:h="16838" w:orient="portrait"/>
          <w:cols w:equalWidth="0" w:num="2">
            <w:col w:w="4838" w:space="720"/>
            <w:col w:w="4559"/>
          </w:cols>
          <w:pgMar w:left="342" w:top="1175" w:right="1440" w:bottom="1440" w:gutter="0" w:footer="0" w:header="0"/>
          <w:type w:val="continuous"/>
        </w:sectPr>
      </w:pPr>
    </w:p>
    <w:p>
      <w:pPr>
        <w:spacing w:after="0" w:line="3" w:lineRule="exact"/>
        <w:rPr>
          <w:sz w:val="24"/>
          <w:szCs w:val="24"/>
          <w:color w:val="auto"/>
        </w:rPr>
      </w:pPr>
    </w:p>
    <w:p>
      <w:pPr>
        <w:jc w:val="center"/>
        <w:ind w:left="638"/>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68" w:lineRule="exact"/>
        <w:rPr>
          <w:sz w:val="24"/>
          <w:szCs w:val="24"/>
          <w:color w:val="auto"/>
        </w:rPr>
      </w:pPr>
    </w:p>
    <w:p>
      <w:pPr>
        <w:sectPr>
          <w:pgSz w:w="11900" w:h="16838" w:orient="portrait"/>
          <w:cols w:equalWidth="0" w:num="2">
            <w:col w:w="4838" w:space="720"/>
            <w:col w:w="4559"/>
          </w:cols>
          <w:pgMar w:left="342" w:top="1175" w:right="1440" w:bottom="1440" w:gutter="0" w:footer="0" w:header="0"/>
          <w:type w:val="continuous"/>
        </w:sectPr>
      </w:pPr>
    </w:p>
    <w:p>
      <w:pPr>
        <w:spacing w:after="0" w:line="232" w:lineRule="exact"/>
        <w:rPr>
          <w:sz w:val="24"/>
          <w:szCs w:val="24"/>
          <w:color w:val="auto"/>
        </w:rPr>
      </w:pPr>
    </w:p>
    <w:p>
      <w:pPr>
        <w:ind w:left="4558"/>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117"/>
          </w:cols>
          <w:pgMar w:left="342" w:top="1175" w:right="1440" w:bottom="1440" w:gutter="0" w:footer="0" w:header="0"/>
          <w:type w:val="continuous"/>
        </w:sectPr>
      </w:pPr>
    </w:p>
    <w:p>
      <w:pPr>
        <w:spacing w:after="0" w:line="165" w:lineRule="exact"/>
        <w:rPr>
          <w:sz w:val="24"/>
          <w:szCs w:val="24"/>
          <w:color w:val="auto"/>
        </w:rPr>
      </w:pPr>
    </w:p>
    <w:p>
      <w:pPr>
        <w:ind w:left="638" w:hanging="638"/>
        <w:spacing w:after="0"/>
        <w:tabs>
          <w:tab w:leader="none" w:pos="638"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43" w:lineRule="exact"/>
        <w:rPr>
          <w:rFonts w:ascii="MS PGothic" w:cs="MS PGothic" w:eastAsia="MS PGothic" w:hAnsi="MS PGothic"/>
          <w:sz w:val="14"/>
          <w:szCs w:val="14"/>
          <w:color w:val="auto"/>
        </w:rPr>
      </w:pPr>
    </w:p>
    <w:p>
      <w:pPr>
        <w:ind w:left="638" w:hanging="638"/>
        <w:spacing w:after="0"/>
        <w:tabs>
          <w:tab w:leader="none" w:pos="638"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35" w:lineRule="exact"/>
        <w:rPr>
          <w:sz w:val="24"/>
          <w:szCs w:val="24"/>
          <w:color w:val="auto"/>
        </w:rPr>
      </w:pPr>
    </w:p>
    <w:p>
      <w:pPr>
        <w:ind w:left="638" w:hanging="638"/>
        <w:spacing w:after="0"/>
        <w:tabs>
          <w:tab w:leader="none" w:pos="638"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35" w:lineRule="exact"/>
        <w:rPr>
          <w:sz w:val="24"/>
          <w:szCs w:val="24"/>
          <w:color w:val="auto"/>
        </w:rPr>
      </w:pPr>
    </w:p>
    <w:p>
      <w:pPr>
        <w:ind w:left="638" w:hanging="638"/>
        <w:spacing w:after="0"/>
        <w:tabs>
          <w:tab w:leader="none" w:pos="638"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35" w:lineRule="exact"/>
        <w:rPr>
          <w:rFonts w:ascii="MS PGothic" w:cs="MS PGothic" w:eastAsia="MS PGothic" w:hAnsi="MS PGothic"/>
          <w:sz w:val="14"/>
          <w:szCs w:val="14"/>
          <w:color w:val="auto"/>
        </w:rPr>
      </w:pPr>
    </w:p>
    <w:p>
      <w:pPr>
        <w:ind w:left="638" w:hanging="638"/>
        <w:spacing w:after="0"/>
        <w:tabs>
          <w:tab w:leader="none" w:pos="638"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222250</wp:posOffset>
            </wp:positionV>
            <wp:extent cx="2157730" cy="373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57730" cy="373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4378"/>
        <w:spacing w:after="0"/>
        <w:rPr>
          <w:sz w:val="20"/>
          <w:szCs w:val="20"/>
          <w:color w:val="auto"/>
        </w:rPr>
      </w:pPr>
      <w:r>
        <w:rPr>
          <w:rFonts w:ascii="Arial" w:cs="Arial" w:eastAsia="Arial" w:hAnsi="Arial"/>
          <w:sz w:val="24"/>
          <w:szCs w:val="24"/>
          <w:b w:val="1"/>
          <w:bCs w:val="1"/>
          <w:color w:val="auto"/>
        </w:rPr>
        <w:t>Enphase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1565910</wp:posOffset>
            </wp:positionH>
            <wp:positionV relativeFrom="paragraph">
              <wp:posOffset>29845</wp:posOffset>
            </wp:positionV>
            <wp:extent cx="39833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3355" cy="8255"/>
                    </a:xfrm>
                    <a:prstGeom prst="rect">
                      <a:avLst/>
                    </a:prstGeom>
                    <a:noFill/>
                  </pic:spPr>
                </pic:pic>
              </a:graphicData>
            </a:graphic>
          </wp:anchor>
        </w:drawing>
      </w:r>
    </w:p>
    <w:p>
      <w:pPr>
        <w:spacing w:after="0" w:line="39" w:lineRule="exact"/>
        <w:rPr>
          <w:sz w:val="24"/>
          <w:szCs w:val="24"/>
          <w:color w:val="auto"/>
        </w:rPr>
      </w:pPr>
    </w:p>
    <w:p>
      <w:pPr>
        <w:ind w:left="2478"/>
        <w:spacing w:after="0"/>
        <w:rPr>
          <w:sz w:val="20"/>
          <w:szCs w:val="20"/>
          <w:color w:val="auto"/>
        </w:rPr>
      </w:pPr>
      <w:r>
        <w:rPr>
          <w:rFonts w:ascii="Arial" w:cs="Arial" w:eastAsia="Arial" w:hAnsi="Arial"/>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1565910</wp:posOffset>
            </wp:positionH>
            <wp:positionV relativeFrom="paragraph">
              <wp:posOffset>153670</wp:posOffset>
            </wp:positionV>
            <wp:extent cx="3983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83355" cy="8255"/>
                    </a:xfrm>
                    <a:prstGeom prst="rect">
                      <a:avLst/>
                    </a:prstGeom>
                    <a:noFill/>
                  </pic:spPr>
                </pic:pic>
              </a:graphicData>
            </a:graphic>
          </wp:anchor>
        </w:drawing>
      </w:r>
    </w:p>
    <w:p>
      <w:pPr>
        <w:spacing w:after="0" w:line="231" w:lineRule="exact"/>
        <w:rPr>
          <w:sz w:val="24"/>
          <w:szCs w:val="24"/>
          <w:color w:val="auto"/>
        </w:rPr>
      </w:pPr>
    </w:p>
    <w:p>
      <w:pPr>
        <w:ind w:left="3658"/>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347" w:lineRule="exact"/>
        <w:rPr>
          <w:sz w:val="24"/>
          <w:szCs w:val="24"/>
          <w:color w:val="auto"/>
        </w:rPr>
      </w:pPr>
    </w:p>
    <w:p>
      <w:pPr>
        <w:ind w:left="3618"/>
        <w:spacing w:after="0"/>
        <w:rPr>
          <w:sz w:val="20"/>
          <w:szCs w:val="20"/>
          <w:color w:val="auto"/>
        </w:rPr>
      </w:pPr>
      <w:r>
        <w:rPr>
          <w:rFonts w:ascii="Arial" w:cs="Arial" w:eastAsia="Arial" w:hAnsi="Arial"/>
          <w:sz w:val="17"/>
          <w:szCs w:val="17"/>
          <w:color w:val="auto"/>
        </w:rPr>
        <w:t>Payment of Filing Fee (Check the appropriate box):</w:t>
      </w:r>
    </w:p>
    <w:p>
      <w:pPr>
        <w:spacing w:after="0" w:line="156" w:lineRule="exact"/>
        <w:rPr>
          <w:sz w:val="24"/>
          <w:szCs w:val="24"/>
          <w:color w:val="auto"/>
        </w:rPr>
      </w:pPr>
    </w:p>
    <w:p>
      <w:pPr>
        <w:ind w:left="318" w:hanging="318"/>
        <w:spacing w:after="0"/>
        <w:tabs>
          <w:tab w:leader="none" w:pos="318"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44" w:lineRule="exact"/>
        <w:rPr>
          <w:rFonts w:ascii="MS PGothic" w:cs="MS PGothic" w:eastAsia="MS PGothic" w:hAnsi="MS PGothic"/>
          <w:sz w:val="12"/>
          <w:szCs w:val="12"/>
          <w:color w:val="auto"/>
        </w:rPr>
      </w:pPr>
    </w:p>
    <w:p>
      <w:pPr>
        <w:ind w:left="318" w:hanging="277"/>
        <w:spacing w:after="0"/>
        <w:tabs>
          <w:tab w:leader="none" w:pos="318" w:val="left"/>
        </w:tabs>
        <w:numPr>
          <w:ilvl w:val="1"/>
          <w:numId w:val="4"/>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44" w:lineRule="exact"/>
        <w:rPr>
          <w:rFonts w:ascii="MS PGothic" w:cs="MS PGothic" w:eastAsia="MS PGothic" w:hAnsi="MS PGothic"/>
          <w:sz w:val="12"/>
          <w:szCs w:val="12"/>
          <w:color w:val="auto"/>
        </w:rPr>
      </w:pPr>
    </w:p>
    <w:p>
      <w:pPr>
        <w:ind w:left="318" w:hanging="277"/>
        <w:spacing w:after="0"/>
        <w:tabs>
          <w:tab w:leader="none" w:pos="318" w:val="left"/>
        </w:tabs>
        <w:numPr>
          <w:ilvl w:val="1"/>
          <w:numId w:val="4"/>
        </w:numPr>
        <w:rPr>
          <w:rFonts w:ascii="MS PGothic" w:cs="MS PGothic" w:eastAsia="MS PGothic" w:hAnsi="MS PGothic"/>
          <w:sz w:val="12"/>
          <w:szCs w:val="12"/>
          <w:color w:val="auto"/>
        </w:rPr>
      </w:pPr>
      <w:r>
        <w:rPr>
          <w:rFonts w:ascii="Arial" w:cs="Arial" w:eastAsia="Arial" w:hAnsi="Arial"/>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749300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-324485</wp:posOffset>
            </wp:positionV>
            <wp:extent cx="7136765" cy="348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348615"/>
                    </a:xfrm>
                    <a:prstGeom prst="rect">
                      <a:avLst/>
                    </a:prstGeom>
                    <a:noFill/>
                  </pic:spPr>
                </pic:pic>
              </a:graphicData>
            </a:graphic>
          </wp:anchor>
        </w:drawing>
      </w:r>
    </w:p>
    <w:p>
      <w:pPr>
        <w:sectPr>
          <w:pgSz w:w="11900" w:h="16838" w:orient="portrait"/>
          <w:cols w:equalWidth="0" w:num="1">
            <w:col w:w="10117"/>
          </w:cols>
          <w:pgMar w:left="342" w:top="1175" w:right="144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437515</wp:posOffset>
            </wp:positionV>
            <wp:extent cx="7162165" cy="8717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8717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20" w:right="5680"/>
        <w:spacing w:after="0" w:line="319" w:lineRule="auto"/>
        <w:rPr>
          <w:sz w:val="20"/>
          <w:szCs w:val="20"/>
          <w:color w:val="auto"/>
        </w:rPr>
      </w:pPr>
      <w:r>
        <w:rPr>
          <w:rFonts w:ascii="Arial" w:cs="Arial" w:eastAsia="Arial" w:hAnsi="Arial"/>
          <w:sz w:val="42"/>
          <w:szCs w:val="42"/>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5695950</wp:posOffset>
            </wp:positionH>
            <wp:positionV relativeFrom="paragraph">
              <wp:posOffset>-614045</wp:posOffset>
            </wp:positionV>
            <wp:extent cx="1435735"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5735" cy="24892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00" w:type="dxa"/>
            <w:vAlign w:val="bottom"/>
            <w:shd w:val="clear" w:color="auto" w:fill="FAF6EF"/>
          </w:tcPr>
          <w:p>
            <w:pPr>
              <w:spacing w:after="0"/>
              <w:rPr>
                <w:sz w:val="22"/>
                <w:szCs w:val="22"/>
                <w:color w:val="auto"/>
              </w:rPr>
            </w:pPr>
          </w:p>
        </w:tc>
        <w:tc>
          <w:tcPr>
            <w:tcW w:w="2900" w:type="dxa"/>
            <w:vAlign w:val="bottom"/>
            <w:vMerge w:val="restart"/>
            <w:shd w:val="clear" w:color="auto" w:fill="FAF6EF"/>
          </w:tcPr>
          <w:p>
            <w:pPr>
              <w:ind w:left="20"/>
              <w:spacing w:after="0"/>
              <w:rPr>
                <w:sz w:val="20"/>
                <w:szCs w:val="20"/>
                <w:color w:val="auto"/>
              </w:rPr>
            </w:pPr>
            <w:r>
              <w:rPr>
                <w:rFonts w:ascii="Arial" w:cs="Arial" w:eastAsia="Arial" w:hAnsi="Arial"/>
                <w:sz w:val="21"/>
                <w:szCs w:val="21"/>
                <w:b w:val="1"/>
                <w:bCs w:val="1"/>
                <w:color w:val="E86100"/>
              </w:rPr>
              <w:t>When</w:t>
            </w:r>
          </w:p>
        </w:tc>
        <w:tc>
          <w:tcPr>
            <w:tcW w:w="340" w:type="dxa"/>
            <w:vAlign w:val="bottom"/>
            <w:tcBorders>
              <w:right w:val="single" w:sz="8" w:color="FAF6EF"/>
            </w:tcBorders>
            <w:shd w:val="clear" w:color="auto" w:fill="FAF6EF"/>
          </w:tcPr>
          <w:p>
            <w:pPr>
              <w:spacing w:after="0"/>
              <w:rPr>
                <w:sz w:val="22"/>
                <w:szCs w:val="22"/>
                <w:color w:val="auto"/>
              </w:rPr>
            </w:pPr>
          </w:p>
        </w:tc>
        <w:tc>
          <w:tcPr>
            <w:tcW w:w="4020" w:type="dxa"/>
            <w:vAlign w:val="bottom"/>
            <w:vMerge w:val="restart"/>
            <w:shd w:val="clear" w:color="auto" w:fill="FAF6EF"/>
          </w:tcPr>
          <w:p>
            <w:pPr>
              <w:ind w:left="320"/>
              <w:spacing w:after="0"/>
              <w:rPr>
                <w:sz w:val="20"/>
                <w:szCs w:val="20"/>
                <w:color w:val="auto"/>
              </w:rPr>
            </w:pPr>
            <w:r>
              <w:rPr>
                <w:rFonts w:ascii="Arial" w:cs="Arial" w:eastAsia="Arial" w:hAnsi="Arial"/>
                <w:sz w:val="21"/>
                <w:szCs w:val="21"/>
                <w:b w:val="1"/>
                <w:bCs w:val="1"/>
                <w:color w:val="E86100"/>
              </w:rPr>
              <w:t>Where</w:t>
            </w:r>
          </w:p>
        </w:tc>
        <w:tc>
          <w:tcPr>
            <w:tcW w:w="20" w:type="dxa"/>
            <w:vAlign w:val="bottom"/>
            <w:shd w:val="clear" w:color="auto" w:fill="FAF6EF"/>
          </w:tcPr>
          <w:p>
            <w:pPr>
              <w:spacing w:after="0"/>
              <w:rPr>
                <w:sz w:val="22"/>
                <w:szCs w:val="22"/>
                <w:color w:val="auto"/>
              </w:rPr>
            </w:pPr>
          </w:p>
        </w:tc>
        <w:tc>
          <w:tcPr>
            <w:tcW w:w="3580" w:type="dxa"/>
            <w:vAlign w:val="bottom"/>
            <w:vMerge w:val="restart"/>
            <w:shd w:val="clear" w:color="auto" w:fill="FAF6EF"/>
          </w:tcPr>
          <w:p>
            <w:pPr>
              <w:ind w:left="320"/>
              <w:spacing w:after="0"/>
              <w:rPr>
                <w:sz w:val="20"/>
                <w:szCs w:val="20"/>
                <w:color w:val="auto"/>
              </w:rPr>
            </w:pPr>
            <w:r>
              <w:rPr>
                <w:rFonts w:ascii="Arial" w:cs="Arial" w:eastAsia="Arial" w:hAnsi="Arial"/>
                <w:sz w:val="21"/>
                <w:szCs w:val="21"/>
                <w:b w:val="1"/>
                <w:bCs w:val="1"/>
                <w:color w:val="E86100"/>
              </w:rPr>
              <w:t>Record date</w:t>
            </w:r>
          </w:p>
        </w:tc>
        <w:tc>
          <w:tcPr>
            <w:tcW w:w="0" w:type="dxa"/>
            <w:vAlign w:val="bottom"/>
          </w:tcPr>
          <w:p>
            <w:pPr>
              <w:spacing w:after="0"/>
              <w:rPr>
                <w:sz w:val="1"/>
                <w:szCs w:val="1"/>
                <w:color w:val="auto"/>
              </w:rPr>
            </w:pPr>
          </w:p>
        </w:tc>
      </w:tr>
      <w:tr>
        <w:trPr>
          <w:trHeight w:val="300"/>
        </w:trPr>
        <w:tc>
          <w:tcPr>
            <w:tcW w:w="300" w:type="dxa"/>
            <w:vAlign w:val="bottom"/>
            <w:shd w:val="clear" w:color="auto" w:fill="FAF6EF"/>
          </w:tcPr>
          <w:p>
            <w:pPr>
              <w:spacing w:after="0"/>
              <w:rPr>
                <w:sz w:val="24"/>
                <w:szCs w:val="24"/>
                <w:color w:val="auto"/>
              </w:rPr>
            </w:pPr>
          </w:p>
        </w:tc>
        <w:tc>
          <w:tcPr>
            <w:tcW w:w="2900" w:type="dxa"/>
            <w:vAlign w:val="bottom"/>
            <w:vMerge w:val="continue"/>
            <w:shd w:val="clear" w:color="auto" w:fill="FAF6EF"/>
          </w:tcPr>
          <w:p>
            <w:pPr>
              <w:spacing w:after="0"/>
              <w:rPr>
                <w:sz w:val="24"/>
                <w:szCs w:val="24"/>
                <w:color w:val="auto"/>
              </w:rPr>
            </w:pPr>
          </w:p>
        </w:tc>
        <w:tc>
          <w:tcPr>
            <w:tcW w:w="340" w:type="dxa"/>
            <w:vAlign w:val="bottom"/>
            <w:tcBorders>
              <w:right w:val="single" w:sz="8" w:color="auto"/>
            </w:tcBorders>
            <w:shd w:val="clear" w:color="auto" w:fill="FAF6EF"/>
          </w:tcPr>
          <w:p>
            <w:pPr>
              <w:spacing w:after="0"/>
              <w:rPr>
                <w:sz w:val="24"/>
                <w:szCs w:val="24"/>
                <w:color w:val="auto"/>
              </w:rPr>
            </w:pPr>
          </w:p>
        </w:tc>
        <w:tc>
          <w:tcPr>
            <w:tcW w:w="4020" w:type="dxa"/>
            <w:vAlign w:val="bottom"/>
            <w:vMerge w:val="continue"/>
            <w:shd w:val="clear" w:color="auto" w:fill="FAF6E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580" w:type="dxa"/>
            <w:vAlign w:val="bottom"/>
            <w:vMerge w:val="continue"/>
            <w:shd w:val="clear" w:color="auto" w:fill="FAF6EF"/>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00" w:type="dxa"/>
            <w:vAlign w:val="bottom"/>
            <w:shd w:val="clear" w:color="auto" w:fill="FAF6EF"/>
          </w:tcPr>
          <w:p>
            <w:pPr>
              <w:spacing w:after="0"/>
              <w:rPr>
                <w:sz w:val="24"/>
                <w:szCs w:val="24"/>
                <w:color w:val="auto"/>
              </w:rPr>
            </w:pPr>
          </w:p>
        </w:tc>
        <w:tc>
          <w:tcPr>
            <w:tcW w:w="2900" w:type="dxa"/>
            <w:vAlign w:val="bottom"/>
            <w:shd w:val="clear" w:color="auto" w:fill="FAF6EF"/>
          </w:tcPr>
          <w:p>
            <w:pPr>
              <w:ind w:left="20"/>
              <w:spacing w:after="0"/>
              <w:rPr>
                <w:sz w:val="20"/>
                <w:szCs w:val="20"/>
                <w:color w:val="auto"/>
              </w:rPr>
            </w:pPr>
            <w:r>
              <w:rPr>
                <w:rFonts w:ascii="Arial" w:cs="Arial" w:eastAsia="Arial" w:hAnsi="Arial"/>
                <w:sz w:val="16"/>
                <w:szCs w:val="16"/>
                <w:color w:val="auto"/>
              </w:rPr>
              <w:t>May 15, 2024, Wednesday, at 9:00 a.m.</w:t>
            </w:r>
          </w:p>
        </w:tc>
        <w:tc>
          <w:tcPr>
            <w:tcW w:w="340" w:type="dxa"/>
            <w:vAlign w:val="bottom"/>
            <w:tcBorders>
              <w:right w:val="single" w:sz="8" w:color="auto"/>
            </w:tcBorders>
            <w:shd w:val="clear" w:color="auto" w:fill="FAF6EF"/>
          </w:tcPr>
          <w:p>
            <w:pPr>
              <w:spacing w:after="0"/>
              <w:rPr>
                <w:sz w:val="24"/>
                <w:szCs w:val="24"/>
                <w:color w:val="auto"/>
              </w:rPr>
            </w:pPr>
          </w:p>
        </w:tc>
        <w:tc>
          <w:tcPr>
            <w:tcW w:w="4020" w:type="dxa"/>
            <w:vAlign w:val="bottom"/>
            <w:shd w:val="clear" w:color="auto" w:fill="FAF6EF"/>
          </w:tcPr>
          <w:p>
            <w:pPr>
              <w:ind w:left="320"/>
              <w:spacing w:after="0"/>
              <w:rPr>
                <w:sz w:val="20"/>
                <w:szCs w:val="20"/>
                <w:color w:val="auto"/>
              </w:rPr>
            </w:pPr>
            <w:r>
              <w:rPr>
                <w:rFonts w:ascii="Arial" w:cs="Arial" w:eastAsia="Arial" w:hAnsi="Arial"/>
                <w:sz w:val="16"/>
                <w:szCs w:val="16"/>
                <w:color w:val="auto"/>
              </w:rPr>
              <w:t>Via live audio-only webcast</w:t>
            </w:r>
          </w:p>
        </w:tc>
        <w:tc>
          <w:tcPr>
            <w:tcW w:w="20" w:type="dxa"/>
            <w:vAlign w:val="bottom"/>
            <w:shd w:val="clear" w:color="auto" w:fill="000000"/>
          </w:tcPr>
          <w:p>
            <w:pPr>
              <w:spacing w:after="0"/>
              <w:rPr>
                <w:sz w:val="24"/>
                <w:szCs w:val="24"/>
                <w:color w:val="auto"/>
              </w:rPr>
            </w:pPr>
          </w:p>
        </w:tc>
        <w:tc>
          <w:tcPr>
            <w:tcW w:w="3580" w:type="dxa"/>
            <w:vAlign w:val="bottom"/>
            <w:shd w:val="clear" w:color="auto" w:fill="FAF6EF"/>
          </w:tcPr>
          <w:p>
            <w:pPr>
              <w:ind w:left="320"/>
              <w:spacing w:after="0"/>
              <w:rPr>
                <w:sz w:val="20"/>
                <w:szCs w:val="20"/>
                <w:color w:val="auto"/>
              </w:rPr>
            </w:pPr>
            <w:r>
              <w:rPr>
                <w:rFonts w:ascii="Arial" w:cs="Arial" w:eastAsia="Arial" w:hAnsi="Arial"/>
                <w:sz w:val="16"/>
                <w:szCs w:val="16"/>
                <w:color w:val="auto"/>
              </w:rPr>
              <w:t>Stockholders as of March 19, 2024, are</w:t>
            </w:r>
          </w:p>
        </w:tc>
        <w:tc>
          <w:tcPr>
            <w:tcW w:w="0" w:type="dxa"/>
            <w:vAlign w:val="bottom"/>
          </w:tcPr>
          <w:p>
            <w:pPr>
              <w:spacing w:after="0"/>
              <w:rPr>
                <w:sz w:val="1"/>
                <w:szCs w:val="1"/>
                <w:color w:val="auto"/>
              </w:rPr>
            </w:pPr>
          </w:p>
        </w:tc>
      </w:tr>
      <w:tr>
        <w:trPr>
          <w:trHeight w:val="222"/>
        </w:trPr>
        <w:tc>
          <w:tcPr>
            <w:tcW w:w="300" w:type="dxa"/>
            <w:vAlign w:val="bottom"/>
            <w:shd w:val="clear" w:color="auto" w:fill="FAF6EF"/>
          </w:tcPr>
          <w:p>
            <w:pPr>
              <w:spacing w:after="0"/>
              <w:rPr>
                <w:sz w:val="19"/>
                <w:szCs w:val="19"/>
                <w:color w:val="auto"/>
              </w:rPr>
            </w:pPr>
          </w:p>
        </w:tc>
        <w:tc>
          <w:tcPr>
            <w:tcW w:w="2900" w:type="dxa"/>
            <w:vAlign w:val="bottom"/>
            <w:shd w:val="clear" w:color="auto" w:fill="FAF6EF"/>
          </w:tcPr>
          <w:p>
            <w:pPr>
              <w:ind w:left="20"/>
              <w:spacing w:after="0"/>
              <w:rPr>
                <w:sz w:val="20"/>
                <w:szCs w:val="20"/>
                <w:color w:val="auto"/>
              </w:rPr>
            </w:pPr>
            <w:r>
              <w:rPr>
                <w:rFonts w:ascii="Arial" w:cs="Arial" w:eastAsia="Arial" w:hAnsi="Arial"/>
                <w:sz w:val="16"/>
                <w:szCs w:val="16"/>
                <w:color w:val="auto"/>
              </w:rPr>
              <w:t>Pacific Time</w:t>
            </w:r>
          </w:p>
        </w:tc>
        <w:tc>
          <w:tcPr>
            <w:tcW w:w="340" w:type="dxa"/>
            <w:vAlign w:val="bottom"/>
            <w:tcBorders>
              <w:right w:val="single" w:sz="8" w:color="auto"/>
            </w:tcBorders>
            <w:shd w:val="clear" w:color="auto" w:fill="FAF6EF"/>
          </w:tcPr>
          <w:p>
            <w:pPr>
              <w:spacing w:after="0"/>
              <w:rPr>
                <w:sz w:val="19"/>
                <w:szCs w:val="19"/>
                <w:color w:val="auto"/>
              </w:rPr>
            </w:pPr>
          </w:p>
        </w:tc>
        <w:tc>
          <w:tcPr>
            <w:tcW w:w="4020" w:type="dxa"/>
            <w:vAlign w:val="bottom"/>
            <w:shd w:val="clear" w:color="auto" w:fill="FAF6EF"/>
          </w:tcPr>
          <w:p>
            <w:pPr>
              <w:ind w:left="320"/>
              <w:spacing w:after="0"/>
              <w:rPr>
                <w:sz w:val="20"/>
                <w:szCs w:val="20"/>
                <w:color w:val="auto"/>
              </w:rPr>
            </w:pPr>
            <w:r>
              <w:rPr>
                <w:rFonts w:ascii="Arial" w:cs="Arial" w:eastAsia="Arial" w:hAnsi="Arial"/>
                <w:sz w:val="16"/>
                <w:szCs w:val="16"/>
                <w:i w:val="1"/>
                <w:iCs w:val="1"/>
                <w:color w:val="auto"/>
              </w:rPr>
              <w:t>www.virtualshareholdermeeting.com/ENPH2024</w:t>
            </w:r>
          </w:p>
        </w:tc>
        <w:tc>
          <w:tcPr>
            <w:tcW w:w="20" w:type="dxa"/>
            <w:vAlign w:val="bottom"/>
            <w:shd w:val="clear" w:color="auto" w:fill="000000"/>
          </w:tcPr>
          <w:p>
            <w:pPr>
              <w:spacing w:after="0"/>
              <w:rPr>
                <w:sz w:val="19"/>
                <w:szCs w:val="19"/>
                <w:color w:val="auto"/>
              </w:rPr>
            </w:pPr>
          </w:p>
        </w:tc>
        <w:tc>
          <w:tcPr>
            <w:tcW w:w="3580" w:type="dxa"/>
            <w:vAlign w:val="bottom"/>
            <w:shd w:val="clear" w:color="auto" w:fill="FAF6EF"/>
          </w:tcPr>
          <w:p>
            <w:pPr>
              <w:ind w:left="320"/>
              <w:spacing w:after="0"/>
              <w:rPr>
                <w:sz w:val="20"/>
                <w:szCs w:val="20"/>
                <w:color w:val="auto"/>
              </w:rPr>
            </w:pPr>
            <w:r>
              <w:rPr>
                <w:rFonts w:ascii="Arial" w:cs="Arial" w:eastAsia="Arial" w:hAnsi="Arial"/>
                <w:sz w:val="16"/>
                <w:szCs w:val="16"/>
                <w:color w:val="auto"/>
              </w:rPr>
              <w:t>entitled to vote at the meeting</w:t>
            </w:r>
          </w:p>
        </w:tc>
        <w:tc>
          <w:tcPr>
            <w:tcW w:w="0" w:type="dxa"/>
            <w:vAlign w:val="bottom"/>
          </w:tcPr>
          <w:p>
            <w:pPr>
              <w:spacing w:after="0"/>
              <w:rPr>
                <w:sz w:val="1"/>
                <w:szCs w:val="1"/>
                <w:color w:val="auto"/>
              </w:rPr>
            </w:pPr>
          </w:p>
        </w:tc>
      </w:tr>
      <w:tr>
        <w:trPr>
          <w:trHeight w:val="198"/>
        </w:trPr>
        <w:tc>
          <w:tcPr>
            <w:tcW w:w="300" w:type="dxa"/>
            <w:vAlign w:val="bottom"/>
            <w:shd w:val="clear" w:color="auto" w:fill="FAF6EF"/>
          </w:tcPr>
          <w:p>
            <w:pPr>
              <w:spacing w:after="0"/>
              <w:rPr>
                <w:sz w:val="17"/>
                <w:szCs w:val="17"/>
                <w:color w:val="auto"/>
              </w:rPr>
            </w:pPr>
          </w:p>
        </w:tc>
        <w:tc>
          <w:tcPr>
            <w:tcW w:w="2900" w:type="dxa"/>
            <w:vAlign w:val="bottom"/>
            <w:shd w:val="clear" w:color="auto" w:fill="FAF6EF"/>
          </w:tcPr>
          <w:p>
            <w:pPr>
              <w:spacing w:after="0"/>
              <w:rPr>
                <w:sz w:val="17"/>
                <w:szCs w:val="17"/>
                <w:color w:val="auto"/>
              </w:rPr>
            </w:pPr>
          </w:p>
        </w:tc>
        <w:tc>
          <w:tcPr>
            <w:tcW w:w="340" w:type="dxa"/>
            <w:vAlign w:val="bottom"/>
            <w:tcBorders>
              <w:right w:val="single" w:sz="8" w:color="auto"/>
            </w:tcBorders>
            <w:shd w:val="clear" w:color="auto" w:fill="FAF6EF"/>
          </w:tcPr>
          <w:p>
            <w:pPr>
              <w:spacing w:after="0"/>
              <w:rPr>
                <w:sz w:val="17"/>
                <w:szCs w:val="17"/>
                <w:color w:val="auto"/>
              </w:rPr>
            </w:pPr>
          </w:p>
        </w:tc>
        <w:tc>
          <w:tcPr>
            <w:tcW w:w="4020" w:type="dxa"/>
            <w:vAlign w:val="bottom"/>
            <w:shd w:val="clear" w:color="auto" w:fill="FAF6E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580" w:type="dxa"/>
            <w:vAlign w:val="bottom"/>
            <w:shd w:val="clear" w:color="auto" w:fill="FAF6E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00" w:type="dxa"/>
            <w:vAlign w:val="bottom"/>
            <w:shd w:val="clear" w:color="auto" w:fill="FAF6EF"/>
          </w:tcPr>
          <w:p>
            <w:pPr>
              <w:spacing w:after="0"/>
              <w:rPr>
                <w:sz w:val="22"/>
                <w:szCs w:val="22"/>
                <w:color w:val="auto"/>
              </w:rPr>
            </w:pPr>
          </w:p>
        </w:tc>
        <w:tc>
          <w:tcPr>
            <w:tcW w:w="2900" w:type="dxa"/>
            <w:vAlign w:val="bottom"/>
            <w:shd w:val="clear" w:color="auto" w:fill="FAF6EF"/>
          </w:tcPr>
          <w:p>
            <w:pPr>
              <w:spacing w:after="0"/>
              <w:rPr>
                <w:sz w:val="22"/>
                <w:szCs w:val="22"/>
                <w:color w:val="auto"/>
              </w:rPr>
            </w:pPr>
          </w:p>
        </w:tc>
        <w:tc>
          <w:tcPr>
            <w:tcW w:w="340" w:type="dxa"/>
            <w:vAlign w:val="bottom"/>
            <w:tcBorders>
              <w:right w:val="single" w:sz="8" w:color="FAF6EF"/>
            </w:tcBorders>
            <w:shd w:val="clear" w:color="auto" w:fill="FAF6EF"/>
          </w:tcPr>
          <w:p>
            <w:pPr>
              <w:spacing w:after="0"/>
              <w:rPr>
                <w:sz w:val="22"/>
                <w:szCs w:val="22"/>
                <w:color w:val="auto"/>
              </w:rPr>
            </w:pPr>
          </w:p>
        </w:tc>
        <w:tc>
          <w:tcPr>
            <w:tcW w:w="4020" w:type="dxa"/>
            <w:vAlign w:val="bottom"/>
            <w:shd w:val="clear" w:color="auto" w:fill="FAF6EF"/>
          </w:tcPr>
          <w:p>
            <w:pPr>
              <w:spacing w:after="0"/>
              <w:rPr>
                <w:sz w:val="22"/>
                <w:szCs w:val="22"/>
                <w:color w:val="auto"/>
              </w:rPr>
            </w:pPr>
          </w:p>
        </w:tc>
        <w:tc>
          <w:tcPr>
            <w:tcW w:w="20" w:type="dxa"/>
            <w:vAlign w:val="bottom"/>
            <w:shd w:val="clear" w:color="auto" w:fill="FAF6EF"/>
          </w:tcPr>
          <w:p>
            <w:pPr>
              <w:spacing w:after="0"/>
              <w:rPr>
                <w:sz w:val="22"/>
                <w:szCs w:val="22"/>
                <w:color w:val="auto"/>
              </w:rPr>
            </w:pPr>
          </w:p>
        </w:tc>
        <w:tc>
          <w:tcPr>
            <w:tcW w:w="3580" w:type="dxa"/>
            <w:vAlign w:val="bottom"/>
            <w:shd w:val="clear" w:color="auto" w:fill="FAF6E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04" w:right="3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Items of Business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Proposal</w:t>
      </w:r>
    </w:p>
    <w:p>
      <w:pPr>
        <w:spacing w:after="0" w:line="200" w:lineRule="exact"/>
        <w:rPr>
          <w:sz w:val="20"/>
          <w:szCs w:val="20"/>
          <w:color w:val="auto"/>
        </w:rPr>
      </w:pPr>
    </w:p>
    <w:p>
      <w:pPr>
        <w:spacing w:after="0" w:line="213" w:lineRule="exact"/>
        <w:rPr>
          <w:sz w:val="20"/>
          <w:szCs w:val="20"/>
          <w:color w:val="auto"/>
        </w:rPr>
      </w:pPr>
    </w:p>
    <w:p>
      <w:pPr>
        <w:ind w:left="20" w:right="40"/>
        <w:spacing w:after="0" w:line="318" w:lineRule="auto"/>
        <w:rPr>
          <w:sz w:val="20"/>
          <w:szCs w:val="20"/>
          <w:color w:val="auto"/>
        </w:rPr>
      </w:pPr>
      <w:r>
        <w:rPr>
          <w:rFonts w:ascii="Arial" w:cs="Arial" w:eastAsia="Arial" w:hAnsi="Arial"/>
          <w:sz w:val="16"/>
          <w:szCs w:val="16"/>
          <w:color w:val="auto"/>
        </w:rPr>
        <w:t>The 2024 Annual Meeting of Stockholders (the “Annual Meeting”) is being convened for the following purposes:</w:t>
      </w:r>
    </w:p>
    <w:p>
      <w:pPr>
        <w:spacing w:after="0" w:line="257" w:lineRule="exact"/>
        <w:rPr>
          <w:sz w:val="20"/>
          <w:szCs w:val="20"/>
          <w:color w:val="auto"/>
        </w:rPr>
      </w:pPr>
    </w:p>
    <w:p>
      <w:pPr>
        <w:ind w:left="340" w:hanging="318"/>
        <w:spacing w:after="0" w:line="304"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our two nominees for director named in the accompanying proxy statement to the Board of Directors, to hold office until the 2027 Annual Meeting of Stockholders.</w:t>
      </w:r>
    </w:p>
    <w:p>
      <w:pPr>
        <w:spacing w:after="0" w:line="254" w:lineRule="exact"/>
        <w:rPr>
          <w:rFonts w:ascii="Arial" w:cs="Arial" w:eastAsia="Arial" w:hAnsi="Arial"/>
          <w:sz w:val="16"/>
          <w:szCs w:val="16"/>
          <w:color w:val="auto"/>
        </w:rPr>
      </w:pPr>
    </w:p>
    <w:p>
      <w:pPr>
        <w:ind w:left="340" w:right="480" w:hanging="318"/>
        <w:spacing w:after="0" w:line="355" w:lineRule="auto"/>
        <w:tabs>
          <w:tab w:leader="none" w:pos="327"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approve, on advisory basis, the compensation of our named executive officers, as disclosed in this proxy statement.</w:t>
      </w:r>
    </w:p>
    <w:p>
      <w:pPr>
        <w:spacing w:after="0" w:line="234" w:lineRule="exact"/>
        <w:rPr>
          <w:rFonts w:ascii="Arial" w:cs="Arial" w:eastAsia="Arial" w:hAnsi="Arial"/>
          <w:sz w:val="15"/>
          <w:szCs w:val="15"/>
          <w:color w:val="auto"/>
        </w:rPr>
      </w:pPr>
    </w:p>
    <w:p>
      <w:pPr>
        <w:ind w:left="340" w:right="80" w:hanging="318"/>
        <w:spacing w:after="0" w:line="318"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on advisory basis, the frequency of stockholder advisory votes on executive compensation.</w:t>
      </w:r>
    </w:p>
    <w:p>
      <w:pPr>
        <w:spacing w:after="0" w:line="257" w:lineRule="exact"/>
        <w:rPr>
          <w:rFonts w:ascii="Arial" w:cs="Arial" w:eastAsia="Arial" w:hAnsi="Arial"/>
          <w:sz w:val="16"/>
          <w:szCs w:val="16"/>
          <w:color w:val="auto"/>
        </w:rPr>
      </w:pPr>
    </w:p>
    <w:p>
      <w:pPr>
        <w:ind w:left="340" w:right="40" w:hanging="318"/>
        <w:spacing w:after="0" w:line="304"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selection of Deloitte &amp; Touche LLP as our independent registered public accounting firm for the fiscal year ending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3100" w:val="left"/>
        </w:tabs>
        <w:rPr>
          <w:sz w:val="20"/>
          <w:szCs w:val="20"/>
          <w:color w:val="auto"/>
        </w:rPr>
      </w:pPr>
      <w:r>
        <w:rPr>
          <w:rFonts w:ascii="Arial" w:cs="Arial" w:eastAsia="Arial" w:hAnsi="Arial"/>
          <w:sz w:val="21"/>
          <w:szCs w:val="21"/>
          <w:b w:val="1"/>
          <w:bCs w:val="1"/>
          <w:color w:val="auto"/>
        </w:rPr>
        <w:t>Board voting</w:t>
      </w:r>
      <w:r>
        <w:rPr>
          <w:sz w:val="20"/>
          <w:szCs w:val="20"/>
          <w:color w:val="auto"/>
        </w:rPr>
        <w:tab/>
      </w:r>
      <w:r>
        <w:rPr>
          <w:rFonts w:ascii="Arial" w:cs="Arial" w:eastAsia="Arial" w:hAnsi="Arial"/>
          <w:sz w:val="20"/>
          <w:szCs w:val="20"/>
          <w:b w:val="1"/>
          <w:bCs w:val="1"/>
          <w:color w:val="auto"/>
        </w:rPr>
        <w:t>Page reference (for</w:t>
      </w:r>
    </w:p>
    <w:p>
      <w:pPr>
        <w:spacing w:after="0" w:line="27" w:lineRule="exact"/>
        <w:rPr>
          <w:sz w:val="20"/>
          <w:szCs w:val="20"/>
          <w:color w:val="auto"/>
        </w:rPr>
      </w:pPr>
    </w:p>
    <w:p>
      <w:pPr>
        <w:spacing w:after="0"/>
        <w:tabs>
          <w:tab w:leader="none" w:pos="3100" w:val="left"/>
        </w:tabs>
        <w:rPr>
          <w:sz w:val="20"/>
          <w:szCs w:val="20"/>
          <w:color w:val="auto"/>
        </w:rPr>
      </w:pPr>
      <w:r>
        <w:rPr>
          <w:rFonts w:ascii="Arial" w:cs="Arial" w:eastAsia="Arial" w:hAnsi="Arial"/>
          <w:sz w:val="21"/>
          <w:szCs w:val="21"/>
          <w:b w:val="1"/>
          <w:bCs w:val="1"/>
          <w:color w:val="auto"/>
        </w:rPr>
        <w:t>recommendation</w:t>
      </w:r>
      <w:r>
        <w:rPr>
          <w:sz w:val="20"/>
          <w:szCs w:val="20"/>
          <w:color w:val="auto"/>
        </w:rPr>
        <w:tab/>
      </w:r>
      <w:r>
        <w:rPr>
          <w:rFonts w:ascii="Arial" w:cs="Arial" w:eastAsia="Arial" w:hAnsi="Arial"/>
          <w:sz w:val="21"/>
          <w:szCs w:val="21"/>
          <w:b w:val="1"/>
          <w:bCs w:val="1"/>
          <w:color w:val="auto"/>
        </w:rPr>
        <w:t>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647065</wp:posOffset>
            </wp:positionV>
            <wp:extent cx="290195" cy="290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0195" cy="29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2160" w:type="dxa"/>
            <w:vAlign w:val="bottom"/>
          </w:tcPr>
          <w:p>
            <w:pPr>
              <w:jc w:val="center"/>
              <w:ind w:right="722"/>
              <w:spacing w:after="0"/>
              <w:rPr>
                <w:sz w:val="20"/>
                <w:szCs w:val="20"/>
                <w:color w:val="auto"/>
              </w:rPr>
            </w:pPr>
            <w:r>
              <w:rPr>
                <w:rFonts w:ascii="Arial" w:cs="Arial" w:eastAsia="Arial" w:hAnsi="Arial"/>
                <w:sz w:val="16"/>
                <w:szCs w:val="16"/>
                <w:b w:val="1"/>
                <w:bCs w:val="1"/>
                <w:color w:val="E86100"/>
                <w:w w:val="98"/>
              </w:rPr>
              <w:t>FOR each director</w:t>
            </w:r>
          </w:p>
        </w:tc>
        <w:tc>
          <w:tcPr>
            <w:tcW w:w="1380" w:type="dxa"/>
            <w:vAlign w:val="bottom"/>
            <w:vMerge w:val="restart"/>
          </w:tcPr>
          <w:p>
            <w:pPr>
              <w:jc w:val="center"/>
              <w:ind w:left="722"/>
              <w:spacing w:after="0"/>
              <w:rPr>
                <w:sz w:val="20"/>
                <w:szCs w:val="20"/>
                <w:color w:val="auto"/>
              </w:rPr>
            </w:pPr>
            <w:r>
              <w:rPr>
                <w:rFonts w:ascii="Arial" w:cs="Arial" w:eastAsia="Arial" w:hAnsi="Arial"/>
                <w:sz w:val="16"/>
                <w:szCs w:val="16"/>
                <w:b w:val="1"/>
                <w:bCs w:val="1"/>
                <w:color w:val="auto"/>
                <w:w w:val="96"/>
              </w:rPr>
              <w:t>Page 8</w:t>
            </w:r>
          </w:p>
        </w:tc>
        <w:tc>
          <w:tcPr>
            <w:tcW w:w="0" w:type="dxa"/>
            <w:vAlign w:val="bottom"/>
          </w:tcPr>
          <w:p>
            <w:pPr>
              <w:spacing w:after="0"/>
              <w:rPr>
                <w:sz w:val="1"/>
                <w:szCs w:val="1"/>
                <w:color w:val="auto"/>
              </w:rPr>
            </w:pPr>
          </w:p>
        </w:tc>
      </w:tr>
      <w:tr>
        <w:trPr>
          <w:trHeight w:val="105"/>
        </w:trPr>
        <w:tc>
          <w:tcPr>
            <w:tcW w:w="2160" w:type="dxa"/>
            <w:vAlign w:val="bottom"/>
            <w:vMerge w:val="restart"/>
          </w:tcPr>
          <w:p>
            <w:pPr>
              <w:jc w:val="center"/>
              <w:ind w:right="702"/>
              <w:spacing w:after="0"/>
              <w:rPr>
                <w:sz w:val="20"/>
                <w:szCs w:val="20"/>
                <w:color w:val="auto"/>
              </w:rPr>
            </w:pPr>
            <w:r>
              <w:rPr>
                <w:rFonts w:ascii="Arial" w:cs="Arial" w:eastAsia="Arial" w:hAnsi="Arial"/>
                <w:sz w:val="16"/>
                <w:szCs w:val="16"/>
                <w:b w:val="1"/>
                <w:bCs w:val="1"/>
                <w:color w:val="E86100"/>
              </w:rPr>
              <w:t>nominee</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16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2"/>
        </w:trPr>
        <w:tc>
          <w:tcPr>
            <w:tcW w:w="2160" w:type="dxa"/>
            <w:vAlign w:val="bottom"/>
          </w:tcPr>
          <w:p>
            <w:pPr>
              <w:jc w:val="center"/>
              <w:ind w:right="702"/>
              <w:spacing w:after="0"/>
              <w:rPr>
                <w:sz w:val="20"/>
                <w:szCs w:val="20"/>
                <w:color w:val="auto"/>
              </w:rPr>
            </w:pPr>
            <w:r>
              <w:rPr>
                <w:rFonts w:ascii="Arial" w:cs="Arial" w:eastAsia="Arial" w:hAnsi="Arial"/>
                <w:sz w:val="16"/>
                <w:szCs w:val="16"/>
                <w:b w:val="1"/>
                <w:bCs w:val="1"/>
                <w:color w:val="E86100"/>
              </w:rPr>
              <w:t>FOR</w:t>
            </w:r>
          </w:p>
        </w:tc>
        <w:tc>
          <w:tcPr>
            <w:tcW w:w="1380" w:type="dxa"/>
            <w:vAlign w:val="bottom"/>
          </w:tcPr>
          <w:p>
            <w:pPr>
              <w:jc w:val="center"/>
              <w:ind w:left="702"/>
              <w:spacing w:after="0"/>
              <w:rPr>
                <w:sz w:val="20"/>
                <w:szCs w:val="20"/>
                <w:color w:val="auto"/>
              </w:rPr>
            </w:pPr>
            <w:r>
              <w:rPr>
                <w:rFonts w:ascii="Arial" w:cs="Arial" w:eastAsia="Arial" w:hAnsi="Arial"/>
                <w:sz w:val="16"/>
                <w:szCs w:val="16"/>
                <w:b w:val="1"/>
                <w:bCs w:val="1"/>
                <w:color w:val="auto"/>
                <w:w w:val="99"/>
              </w:rPr>
              <w:t>Page 62</w:t>
            </w:r>
          </w:p>
        </w:tc>
        <w:tc>
          <w:tcPr>
            <w:tcW w:w="0" w:type="dxa"/>
            <w:vAlign w:val="bottom"/>
          </w:tcPr>
          <w:p>
            <w:pPr>
              <w:spacing w:after="0"/>
              <w:rPr>
                <w:sz w:val="1"/>
                <w:szCs w:val="1"/>
                <w:color w:val="auto"/>
              </w:rPr>
            </w:pPr>
          </w:p>
        </w:tc>
      </w:tr>
      <w:tr>
        <w:trPr>
          <w:trHeight w:val="745"/>
        </w:trPr>
        <w:tc>
          <w:tcPr>
            <w:tcW w:w="2160" w:type="dxa"/>
            <w:vAlign w:val="bottom"/>
          </w:tcPr>
          <w:p>
            <w:pPr>
              <w:jc w:val="center"/>
              <w:ind w:right="702"/>
              <w:spacing w:after="0"/>
              <w:rPr>
                <w:sz w:val="20"/>
                <w:szCs w:val="20"/>
                <w:color w:val="auto"/>
              </w:rPr>
            </w:pPr>
            <w:r>
              <w:rPr>
                <w:rFonts w:ascii="Arial" w:cs="Arial" w:eastAsia="Arial" w:hAnsi="Arial"/>
                <w:sz w:val="16"/>
                <w:szCs w:val="16"/>
                <w:b w:val="1"/>
                <w:bCs w:val="1"/>
                <w:color w:val="E86100"/>
              </w:rPr>
              <w:t>1 YEAR</w:t>
            </w:r>
          </w:p>
        </w:tc>
        <w:tc>
          <w:tcPr>
            <w:tcW w:w="1380" w:type="dxa"/>
            <w:vAlign w:val="bottom"/>
          </w:tcPr>
          <w:p>
            <w:pPr>
              <w:jc w:val="center"/>
              <w:ind w:left="702"/>
              <w:spacing w:after="0"/>
              <w:rPr>
                <w:sz w:val="20"/>
                <w:szCs w:val="20"/>
                <w:color w:val="auto"/>
              </w:rPr>
            </w:pPr>
            <w:r>
              <w:rPr>
                <w:rFonts w:ascii="Arial" w:cs="Arial" w:eastAsia="Arial" w:hAnsi="Arial"/>
                <w:sz w:val="16"/>
                <w:szCs w:val="16"/>
                <w:b w:val="1"/>
                <w:bCs w:val="1"/>
                <w:color w:val="auto"/>
                <w:w w:val="99"/>
              </w:rPr>
              <w:t>Page 63</w:t>
            </w:r>
          </w:p>
        </w:tc>
        <w:tc>
          <w:tcPr>
            <w:tcW w:w="0" w:type="dxa"/>
            <w:vAlign w:val="bottom"/>
          </w:tcPr>
          <w:p>
            <w:pPr>
              <w:spacing w:after="0"/>
              <w:rPr>
                <w:sz w:val="1"/>
                <w:szCs w:val="1"/>
                <w:color w:val="auto"/>
              </w:rPr>
            </w:pPr>
          </w:p>
        </w:tc>
      </w:tr>
      <w:tr>
        <w:trPr>
          <w:trHeight w:val="849"/>
        </w:trPr>
        <w:tc>
          <w:tcPr>
            <w:tcW w:w="2160" w:type="dxa"/>
            <w:vAlign w:val="bottom"/>
          </w:tcPr>
          <w:p>
            <w:pPr>
              <w:jc w:val="center"/>
              <w:ind w:right="702"/>
              <w:spacing w:after="0"/>
              <w:rPr>
                <w:sz w:val="20"/>
                <w:szCs w:val="20"/>
                <w:color w:val="auto"/>
              </w:rPr>
            </w:pPr>
            <w:r>
              <w:rPr>
                <w:rFonts w:ascii="Arial" w:cs="Arial" w:eastAsia="Arial" w:hAnsi="Arial"/>
                <w:sz w:val="16"/>
                <w:szCs w:val="16"/>
                <w:b w:val="1"/>
                <w:bCs w:val="1"/>
                <w:color w:val="E86100"/>
              </w:rPr>
              <w:t>FOR</w:t>
            </w:r>
          </w:p>
        </w:tc>
        <w:tc>
          <w:tcPr>
            <w:tcW w:w="1380" w:type="dxa"/>
            <w:vAlign w:val="bottom"/>
          </w:tcPr>
          <w:p>
            <w:pPr>
              <w:jc w:val="center"/>
              <w:ind w:left="702"/>
              <w:spacing w:after="0"/>
              <w:rPr>
                <w:sz w:val="20"/>
                <w:szCs w:val="20"/>
                <w:color w:val="auto"/>
              </w:rPr>
            </w:pPr>
            <w:r>
              <w:rPr>
                <w:rFonts w:ascii="Arial" w:cs="Arial" w:eastAsia="Arial" w:hAnsi="Arial"/>
                <w:sz w:val="16"/>
                <w:szCs w:val="16"/>
                <w:b w:val="1"/>
                <w:bCs w:val="1"/>
                <w:color w:val="auto"/>
                <w:w w:val="99"/>
              </w:rPr>
              <w:t>Page 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-1247775</wp:posOffset>
            </wp:positionV>
            <wp:extent cx="290195" cy="290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0195" cy="290195"/>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-774700</wp:posOffset>
            </wp:positionV>
            <wp:extent cx="290195" cy="290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0195" cy="290195"/>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-235585</wp:posOffset>
            </wp:positionV>
            <wp:extent cx="290195" cy="290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0195" cy="290195"/>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2">
            <w:col w:w="5160" w:space="460"/>
            <w:col w:w="5620"/>
          </w:cols>
          <w:pgMar w:left="320" w:top="804" w:right="339" w:bottom="1440" w:gutter="0" w:footer="0" w:header="0"/>
          <w:type w:val="continuous"/>
        </w:sectPr>
      </w:pPr>
    </w:p>
    <w:p>
      <w:pPr>
        <w:spacing w:after="0" w:line="329"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Stockholders will also transact such other business as may properly come before the Annual Meeting to be held on May 15, 2024,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5775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759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21"/>
          <w:szCs w:val="21"/>
          <w:b w:val="1"/>
          <w:bCs w:val="1"/>
          <w:color w:val="auto"/>
        </w:rPr>
        <w:t>Voting</w:t>
      </w:r>
      <w:r>
        <w:rPr>
          <w:sz w:val="20"/>
          <w:szCs w:val="20"/>
          <w:color w:val="auto"/>
        </w:rPr>
        <w:tab/>
      </w:r>
      <w:r>
        <w:rPr>
          <w:rFonts w:ascii="Arial" w:cs="Arial" w:eastAsia="Arial" w:hAnsi="Arial"/>
          <w:sz w:val="21"/>
          <w:szCs w:val="21"/>
          <w:b w:val="1"/>
          <w:bCs w:val="1"/>
          <w:color w:val="auto"/>
        </w:rPr>
        <w:t>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29210</wp:posOffset>
            </wp:positionV>
            <wp:extent cx="298450" cy="298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8450" cy="298450"/>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type w:val="continuous"/>
        </w:sectPr>
      </w:pPr>
    </w:p>
    <w:p>
      <w:pPr>
        <w:spacing w:after="0" w:line="73" w:lineRule="exact"/>
        <w:rPr>
          <w:sz w:val="20"/>
          <w:szCs w:val="20"/>
          <w:color w:val="auto"/>
        </w:rPr>
      </w:pPr>
    </w:p>
    <w:p>
      <w:pPr>
        <w:ind w:left="20" w:right="720"/>
        <w:spacing w:after="0" w:line="293" w:lineRule="auto"/>
        <w:rPr>
          <w:sz w:val="20"/>
          <w:szCs w:val="20"/>
          <w:color w:val="auto"/>
        </w:rPr>
      </w:pPr>
      <w:r>
        <w:rPr>
          <w:rFonts w:ascii="Arial" w:cs="Arial" w:eastAsia="Arial" w:hAnsi="Arial"/>
          <w:sz w:val="16"/>
          <w:szCs w:val="16"/>
          <w:color w:val="auto"/>
        </w:rPr>
        <w:t>Your broker will not be able to vote your shares with respect to any of the matters presented at the meeting, other than the ratification of the selection of our independent registered public accounting firm, unless you give your broker specific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1175385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 xml:space="preserve">Stockholders may view and listen to a live webcast of the meeting. The webcast will start at 9:00 a.m. (Pacific Time). See our Investor Relations website at </w:t>
      </w:r>
      <w:r>
        <w:rPr>
          <w:rFonts w:ascii="Arial" w:cs="Arial" w:eastAsia="Arial" w:hAnsi="Arial"/>
          <w:sz w:val="16"/>
          <w:szCs w:val="16"/>
          <w:i w:val="1"/>
          <w:iCs w:val="1"/>
          <w:color w:val="auto"/>
        </w:rPr>
        <w:t>http://investor.enphase.com/shareholder-services/annual-meeting</w:t>
      </w:r>
      <w:r>
        <w:rPr>
          <w:rFonts w:ascii="Arial" w:cs="Arial" w:eastAsia="Arial" w:hAnsi="Arial"/>
          <w:sz w:val="16"/>
          <w:szCs w:val="16"/>
          <w:color w:val="auto"/>
        </w:rPr>
        <w:t>. You do not need to attend the Annual Meeting to vote if</w:t>
      </w:r>
      <w:r>
        <w:rPr>
          <w:rFonts w:ascii="Arial" w:cs="Arial" w:eastAsia="Arial" w:hAnsi="Arial"/>
          <w:sz w:val="16"/>
          <w:szCs w:val="16"/>
          <w:i w:val="1"/>
          <w:iCs w:val="1"/>
          <w:color w:val="auto"/>
        </w:rPr>
        <w:t xml:space="preserve"> </w:t>
      </w:r>
      <w:r>
        <w:rPr>
          <w:rFonts w:ascii="Arial" w:cs="Arial" w:eastAsia="Arial" w:hAnsi="Arial"/>
          <w:sz w:val="16"/>
          <w:szCs w:val="16"/>
          <w:color w:val="auto"/>
        </w:rPr>
        <w:t>you submitted your proxy in advance of the meeting.</w:t>
      </w:r>
    </w:p>
    <w:p>
      <w:pPr>
        <w:sectPr>
          <w:pgSz w:w="11900" w:h="16838" w:orient="portrait"/>
          <w:cols w:equalWidth="0" w:num="2">
            <w:col w:w="5960" w:space="720"/>
            <w:col w:w="4560"/>
          </w:cols>
          <w:pgMar w:left="320" w:top="804" w:right="339" w:bottom="1440" w:gutter="0" w:footer="0" w:header="0"/>
          <w:type w:val="continuous"/>
        </w:sectPr>
      </w:pPr>
    </w:p>
    <w:bookmarkStart w:id="3" w:name="page4"/>
    <w:bookmarkEnd w:id="3"/>
    <w:p>
      <w:pPr>
        <w:jc w:val="both"/>
        <w:spacing w:after="0" w:line="292" w:lineRule="auto"/>
        <w:rPr>
          <w:sz w:val="20"/>
          <w:szCs w:val="20"/>
          <w:color w:val="auto"/>
        </w:rPr>
      </w:pPr>
      <w:r>
        <w:rPr>
          <w:rFonts w:ascii="Arial" w:cs="Arial" w:eastAsia="Arial" w:hAnsi="Arial"/>
          <w:sz w:val="16"/>
          <w:szCs w:val="16"/>
          <w:color w:val="auto"/>
        </w:rPr>
        <w:t xml:space="preserve">We are committed to ensuring, to the extent possible, that stockholders will be afforded the ability to participate at the virtual meeting similarly to how they would participate at an in-person meeting. The question and answer session will include questions submitted in advance of, and questions submitted live during, the Annual Meeting. You may submit a question in advance of the meeting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after logging in with your unique 16-digit control number (“Control Number”) found on your proxy card or voting instruction form (“VIF”). Questions may be submitted during the Annual Meeting through the virtual meeting portal after logging into the meeting with your Control Number at </w:t>
      </w:r>
      <w:r>
        <w:rPr>
          <w:rFonts w:ascii="Arial" w:cs="Arial" w:eastAsia="Arial" w:hAnsi="Arial"/>
          <w:sz w:val="16"/>
          <w:szCs w:val="16"/>
          <w:i w:val="1"/>
          <w:iCs w:val="1"/>
          <w:color w:val="auto"/>
        </w:rPr>
        <w:t>www.virtualshareholdermeeting.com/ENPH2024</w:t>
      </w:r>
      <w:r>
        <w:rPr>
          <w:rFonts w:ascii="Arial" w:cs="Arial" w:eastAsia="Arial" w:hAnsi="Arial"/>
          <w:sz w:val="16"/>
          <w:szCs w:val="16"/>
          <w:color w:val="auto"/>
        </w:rPr>
        <w:t>.</w:t>
      </w:r>
    </w:p>
    <w:p>
      <w:pPr>
        <w:spacing w:after="0" w:line="13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We encourage you to access the Annual Meeting before it begins. Online log in will start thirty minutes before the Annual Meeting begins at 9:00 a.m. (Pacific Time) on May 15, 2024. If you have technical difficulty accessing the meeting, phone support will be available at the numbers provided on the log-in page at </w:t>
      </w:r>
      <w:r>
        <w:rPr>
          <w:rFonts w:ascii="Arial" w:cs="Arial" w:eastAsia="Arial" w:hAnsi="Arial"/>
          <w:sz w:val="16"/>
          <w:szCs w:val="16"/>
          <w:i w:val="1"/>
          <w:iCs w:val="1"/>
          <w:color w:val="auto"/>
        </w:rPr>
        <w:t>ww.virtualshareholdermeeting.com/ENPH2024</w:t>
      </w:r>
      <w:r>
        <w:rPr>
          <w:rFonts w:ascii="Arial" w:cs="Arial" w:eastAsia="Arial" w:hAnsi="Arial"/>
          <w:sz w:val="16"/>
          <w:szCs w:val="16"/>
          <w:color w:val="auto"/>
        </w:rPr>
        <w:t>.</w:t>
      </w:r>
    </w:p>
    <w:p>
      <w:pPr>
        <w:spacing w:after="0" w:line="111"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YOUR VOTE IS VERY IMPORTANT. Even if you plan to attend the Annual Meeting, please cast your vote as soon as possible. Make sure to have your proxy card or VIF in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88265</wp:posOffset>
            </wp:positionV>
            <wp:extent cx="8255" cy="979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97917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847"/>
        </w:trPr>
        <w:tc>
          <w:tcPr>
            <w:tcW w:w="34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 xml:space="preserve">By internet go to </w:t>
            </w:r>
            <w:r>
              <w:rPr>
                <w:rFonts w:ascii="Arial" w:cs="Arial" w:eastAsia="Arial" w:hAnsi="Arial"/>
                <w:sz w:val="16"/>
                <w:szCs w:val="16"/>
                <w:i w:val="1"/>
                <w:iCs w:val="1"/>
                <w:color w:val="auto"/>
              </w:rPr>
              <w:t>www.proxyvote.com</w:t>
            </w:r>
          </w:p>
        </w:tc>
        <w:tc>
          <w:tcPr>
            <w:tcW w:w="3280" w:type="dxa"/>
            <w:vAlign w:val="bottom"/>
          </w:tcPr>
          <w:p>
            <w:pPr>
              <w:ind w:left="340"/>
              <w:spacing w:after="0"/>
              <w:rPr>
                <w:sz w:val="20"/>
                <w:szCs w:val="20"/>
                <w:color w:val="auto"/>
              </w:rPr>
            </w:pPr>
            <w:r>
              <w:rPr>
                <w:rFonts w:ascii="Arial" w:cs="Arial" w:eastAsia="Arial" w:hAnsi="Arial"/>
                <w:sz w:val="16"/>
                <w:szCs w:val="16"/>
                <w:color w:val="auto"/>
              </w:rPr>
              <w:t>By toll-free telephone from the United</w:t>
            </w:r>
          </w:p>
        </w:tc>
      </w:tr>
      <w:tr>
        <w:trPr>
          <w:trHeight w:val="222"/>
        </w:trPr>
        <w:tc>
          <w:tcPr>
            <w:tcW w:w="3400" w:type="dxa"/>
            <w:vAlign w:val="bottom"/>
            <w:tcBorders>
              <w:right w:val="single" w:sz="8" w:color="auto"/>
            </w:tcBorders>
          </w:tcPr>
          <w:p>
            <w:pPr>
              <w:spacing w:after="0"/>
              <w:rPr>
                <w:sz w:val="19"/>
                <w:szCs w:val="19"/>
                <w:color w:val="auto"/>
              </w:rPr>
            </w:pPr>
          </w:p>
        </w:tc>
        <w:tc>
          <w:tcPr>
            <w:tcW w:w="3280" w:type="dxa"/>
            <w:vAlign w:val="bottom"/>
          </w:tcPr>
          <w:p>
            <w:pPr>
              <w:ind w:left="340"/>
              <w:spacing w:after="0"/>
              <w:rPr>
                <w:sz w:val="20"/>
                <w:szCs w:val="20"/>
                <w:color w:val="auto"/>
              </w:rPr>
            </w:pPr>
            <w:r>
              <w:rPr>
                <w:rFonts w:ascii="Arial" w:cs="Arial" w:eastAsia="Arial" w:hAnsi="Arial"/>
                <w:sz w:val="16"/>
                <w:szCs w:val="16"/>
                <w:color w:val="auto"/>
                <w:w w:val="97"/>
              </w:rPr>
              <w:t>States, U.S. territories and Canada: call 1-</w:t>
            </w:r>
          </w:p>
        </w:tc>
      </w:tr>
      <w:tr>
        <w:trPr>
          <w:trHeight w:val="222"/>
        </w:trPr>
        <w:tc>
          <w:tcPr>
            <w:tcW w:w="3400" w:type="dxa"/>
            <w:vAlign w:val="bottom"/>
            <w:tcBorders>
              <w:right w:val="single" w:sz="8" w:color="auto"/>
            </w:tcBorders>
          </w:tcPr>
          <w:p>
            <w:pPr>
              <w:spacing w:after="0"/>
              <w:rPr>
                <w:sz w:val="19"/>
                <w:szCs w:val="19"/>
                <w:color w:val="auto"/>
              </w:rPr>
            </w:pPr>
          </w:p>
        </w:tc>
        <w:tc>
          <w:tcPr>
            <w:tcW w:w="3280" w:type="dxa"/>
            <w:vAlign w:val="bottom"/>
          </w:tcPr>
          <w:p>
            <w:pPr>
              <w:ind w:left="340"/>
              <w:spacing w:after="0"/>
              <w:rPr>
                <w:sz w:val="20"/>
                <w:szCs w:val="20"/>
                <w:color w:val="auto"/>
              </w:rPr>
            </w:pPr>
            <w:r>
              <w:rPr>
                <w:rFonts w:ascii="Arial" w:cs="Arial" w:eastAsia="Arial" w:hAnsi="Arial"/>
                <w:sz w:val="16"/>
                <w:szCs w:val="16"/>
                <w:color w:val="auto"/>
              </w:rPr>
              <w:t>800-690-6903</w:t>
            </w:r>
          </w:p>
        </w:tc>
      </w:tr>
      <w:tr>
        <w:trPr>
          <w:trHeight w:val="251"/>
        </w:trPr>
        <w:tc>
          <w:tcPr>
            <w:tcW w:w="3400" w:type="dxa"/>
            <w:vAlign w:val="bottom"/>
            <w:tcBorders>
              <w:right w:val="single" w:sz="8" w:color="auto"/>
            </w:tcBorders>
          </w:tcPr>
          <w:p>
            <w:pPr>
              <w:spacing w:after="0"/>
              <w:rPr>
                <w:sz w:val="21"/>
                <w:szCs w:val="21"/>
                <w:color w:val="auto"/>
              </w:rPr>
            </w:pPr>
          </w:p>
        </w:tc>
        <w:tc>
          <w:tcPr>
            <w:tcW w:w="3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-962025</wp:posOffset>
            </wp:positionV>
            <wp:extent cx="298450" cy="298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8450" cy="298450"/>
                    </a:xfrm>
                    <a:prstGeom prst="rect">
                      <a:avLst/>
                    </a:prstGeom>
                    <a:noFill/>
                  </pic:spPr>
                </pic:pic>
              </a:graphicData>
            </a:graphic>
          </wp:anchor>
        </w:drawing>
        <w:drawing>
          <wp:anchor simplePos="0" relativeHeight="251657728" behindDoc="1" locked="0" layoutInCell="0" allowOverlap="1">
            <wp:simplePos x="0" y="0"/>
            <wp:positionH relativeFrom="column">
              <wp:posOffset>2592070</wp:posOffset>
            </wp:positionH>
            <wp:positionV relativeFrom="paragraph">
              <wp:posOffset>-962025</wp:posOffset>
            </wp:positionV>
            <wp:extent cx="298450" cy="298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8450" cy="298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By mail (if you received a paper copy of the proxy materials by mail): mark, sign, date and promptly mail the enclosed proxy card in the postage 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-960755</wp:posOffset>
            </wp:positionV>
            <wp:extent cx="298450" cy="298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8450" cy="29845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7120" w:space="720"/>
            <w:col w:w="3400"/>
          </w:cols>
          <w:pgMar w:left="320" w:top="768" w:right="339" w:bottom="1440" w:gutter="0" w:footer="0" w:header="0"/>
          <w:type w:val="continuous"/>
        </w:sectPr>
      </w:pPr>
    </w:p>
    <w:p>
      <w:pPr>
        <w:spacing w:after="0" w:line="15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 xml:space="preserve">Submitting your proxy now will not prevent you from voting your shares at the Annual Meeting as your proxy is revocable at your option prior to the voting close. Whether or not you participate in the Annual Meeting, it is important that your shares be part of the voting process. You may log on to </w:t>
      </w:r>
      <w:r>
        <w:rPr>
          <w:rFonts w:ascii="Arial" w:cs="Arial" w:eastAsia="Arial" w:hAnsi="Arial"/>
          <w:sz w:val="15"/>
          <w:szCs w:val="15"/>
          <w:i w:val="1"/>
          <w:iCs w:val="1"/>
          <w:color w:val="auto"/>
        </w:rPr>
        <w:t>www.proxyvote.com</w:t>
      </w:r>
      <w:r>
        <w:rPr>
          <w:rFonts w:ascii="Arial" w:cs="Arial" w:eastAsia="Arial" w:hAnsi="Arial"/>
          <w:sz w:val="15"/>
          <w:szCs w:val="15"/>
          <w:color w:val="auto"/>
        </w:rPr>
        <w:t xml:space="preserve"> and enter your Control Number to vote your shares. You can also vote in advance of or during the meeting. If you attend the Annual Meeting virtually, please follow the instructions at </w:t>
      </w:r>
      <w:r>
        <w:rPr>
          <w:rFonts w:ascii="Arial" w:cs="Arial" w:eastAsia="Arial" w:hAnsi="Arial"/>
          <w:sz w:val="15"/>
          <w:szCs w:val="15"/>
          <w:i w:val="1"/>
          <w:iCs w:val="1"/>
          <w:color w:val="auto"/>
        </w:rPr>
        <w:t>www.virtualshareholdermeeting.com/ENPH2024</w:t>
      </w:r>
      <w:r>
        <w:rPr>
          <w:rFonts w:ascii="Arial" w:cs="Arial" w:eastAsia="Arial" w:hAnsi="Arial"/>
          <w:sz w:val="15"/>
          <w:szCs w:val="15"/>
          <w:color w:val="auto"/>
        </w:rPr>
        <w:t xml:space="preserve"> to vote, change your vote or submit questions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323215</wp:posOffset>
            </wp:positionV>
            <wp:extent cx="4771390" cy="2423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71390"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4060" w:val="left"/>
        </w:tabs>
        <w:rPr>
          <w:sz w:val="20"/>
          <w:szCs w:val="20"/>
          <w:color w:val="auto"/>
        </w:rPr>
      </w:pPr>
      <w:r>
        <w:rPr>
          <w:rFonts w:ascii="Arial" w:cs="Arial" w:eastAsia="Arial" w:hAnsi="Arial"/>
          <w:sz w:val="16"/>
          <w:szCs w:val="16"/>
          <w:color w:val="auto"/>
        </w:rPr>
        <w:t>By Order of the Board of Directors</w:t>
      </w:r>
      <w:r>
        <w:rPr>
          <w:sz w:val="20"/>
          <w:szCs w:val="20"/>
          <w:color w:val="auto"/>
        </w:rPr>
        <w:tab/>
      </w:r>
      <w:r>
        <w:rPr>
          <w:rFonts w:ascii="Arial" w:cs="Arial" w:eastAsia="Arial" w:hAnsi="Arial"/>
          <w:sz w:val="16"/>
          <w:szCs w:val="16"/>
          <w:color w:val="auto"/>
        </w:rPr>
        <w:t>Important Notice Regarding the Availability of Proxy Materials for the Annual Meeting of</w:t>
      </w:r>
    </w:p>
    <w:p>
      <w:pPr>
        <w:spacing w:after="0" w:line="38" w:lineRule="exact"/>
        <w:rPr>
          <w:sz w:val="20"/>
          <w:szCs w:val="20"/>
          <w:color w:val="auto"/>
        </w:rPr>
      </w:pPr>
    </w:p>
    <w:p>
      <w:pPr>
        <w:ind w:left="4080" w:right="380"/>
        <w:spacing w:after="0" w:line="301" w:lineRule="auto"/>
        <w:rPr>
          <w:sz w:val="20"/>
          <w:szCs w:val="20"/>
          <w:color w:val="auto"/>
        </w:rPr>
      </w:pPr>
      <w:r>
        <w:rPr>
          <w:rFonts w:ascii="Arial" w:cs="Arial" w:eastAsia="Arial" w:hAnsi="Arial"/>
          <w:sz w:val="16"/>
          <w:szCs w:val="16"/>
          <w:color w:val="auto"/>
        </w:rPr>
        <w:t xml:space="preserve">Stockholders to be held on May 15, 2024 virtually via live audio-only webcast at </w:t>
      </w:r>
      <w:r>
        <w:rPr>
          <w:rFonts w:ascii="Arial" w:cs="Arial" w:eastAsia="Arial" w:hAnsi="Arial"/>
          <w:sz w:val="16"/>
          <w:szCs w:val="16"/>
          <w:i w:val="1"/>
          <w:iCs w:val="1"/>
          <w:color w:val="auto"/>
        </w:rPr>
        <w:t>www.virtualshareholdermeeting.com/ENPH2024</w:t>
      </w:r>
      <w:r>
        <w:rPr>
          <w:rFonts w:ascii="Arial" w:cs="Arial" w:eastAsia="Arial" w:hAnsi="Arial"/>
          <w:sz w:val="16"/>
          <w:szCs w:val="16"/>
          <w:color w:val="auto"/>
        </w:rPr>
        <w:t>.</w:t>
      </w:r>
    </w:p>
    <w:p>
      <w:pPr>
        <w:spacing w:after="0" w:line="127"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The Proxy Statement and our Annual Report on Form 10-K for the fiscal year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-75565</wp:posOffset>
            </wp:positionV>
            <wp:extent cx="1162050" cy="489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62050" cy="489585"/>
                    </a:xfrm>
                    <a:prstGeom prst="rect">
                      <a:avLst/>
                    </a:prstGeom>
                    <a:noFill/>
                  </pic:spPr>
                </pic:pic>
              </a:graphicData>
            </a:graphic>
          </wp:anchor>
        </w:drawing>
      </w:r>
    </w:p>
    <w:p>
      <w:pPr>
        <w:spacing w:after="0" w:line="18"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31, 2023, as filed with the Securities and Exchange Commission on February 9, 2024 are</w:t>
      </w:r>
    </w:p>
    <w:p>
      <w:pPr>
        <w:spacing w:after="0" w:line="38"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 xml:space="preserve">available at </w:t>
      </w:r>
      <w:r>
        <w:rPr>
          <w:rFonts w:ascii="Arial" w:cs="Arial" w:eastAsia="Arial" w:hAnsi="Arial"/>
          <w:sz w:val="16"/>
          <w:szCs w:val="16"/>
          <w:i w:val="1"/>
          <w:iCs w:val="1"/>
          <w:color w:val="auto"/>
        </w:rPr>
        <w:t>https://materials.proxyvote.com/29355a.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Badrinarayanan Kothandaraman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and Chief Executive Officer</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Fremont, California</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641350</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2"/>
          <w:szCs w:val="42"/>
          <w:b w:val="1"/>
          <w:bCs w:val="1"/>
          <w:color w:val="auto"/>
        </w:rPr>
        <w:t>Table of Contents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520" w:type="dxa"/>
            <w:vAlign w:val="bottom"/>
          </w:tcPr>
          <w:p>
            <w:pPr>
              <w:ind w:left="20"/>
              <w:spacing w:after="0"/>
              <w:rPr>
                <w:sz w:val="20"/>
                <w:szCs w:val="20"/>
                <w:color w:val="auto"/>
              </w:rPr>
            </w:pPr>
            <w:r>
              <w:rPr>
                <w:rFonts w:ascii="Arial" w:cs="Arial" w:eastAsia="Arial" w:hAnsi="Arial"/>
                <w:sz w:val="17"/>
                <w:szCs w:val="17"/>
                <w:b w:val="1"/>
                <w:bCs w:val="1"/>
                <w:color w:val="auto"/>
              </w:rPr>
              <w:t>Enphase at a Glance</w:t>
            </w:r>
          </w:p>
        </w:tc>
        <w:tc>
          <w:tcPr>
            <w:tcW w:w="1720" w:type="dxa"/>
            <w:vAlign w:val="bottom"/>
          </w:tcPr>
          <w:p>
            <w:pPr>
              <w:ind w:left="880"/>
              <w:spacing w:after="0"/>
              <w:rPr>
                <w:sz w:val="20"/>
                <w:szCs w:val="20"/>
                <w:color w:val="auto"/>
              </w:rPr>
            </w:pPr>
            <w:r>
              <w:rPr>
                <w:rFonts w:ascii="Arial" w:cs="Arial" w:eastAsia="Arial" w:hAnsi="Arial"/>
                <w:sz w:val="17"/>
                <w:szCs w:val="17"/>
                <w:b w:val="1"/>
                <w:bCs w:val="1"/>
                <w:color w:val="auto"/>
              </w:rPr>
              <w:t>1</w:t>
            </w:r>
          </w:p>
        </w:tc>
      </w:tr>
      <w:tr>
        <w:trPr>
          <w:trHeight w:val="405"/>
        </w:trPr>
        <w:tc>
          <w:tcPr>
            <w:tcW w:w="9520" w:type="dxa"/>
            <w:vAlign w:val="bottom"/>
          </w:tcPr>
          <w:p>
            <w:pPr>
              <w:ind w:left="20"/>
              <w:spacing w:after="0"/>
              <w:rPr>
                <w:sz w:val="20"/>
                <w:szCs w:val="20"/>
                <w:color w:val="auto"/>
              </w:rPr>
            </w:pPr>
            <w:r>
              <w:rPr>
                <w:rFonts w:ascii="Arial" w:cs="Arial" w:eastAsia="Arial" w:hAnsi="Arial"/>
                <w:sz w:val="17"/>
                <w:szCs w:val="17"/>
                <w:b w:val="1"/>
                <w:bCs w:val="1"/>
                <w:color w:val="auto"/>
              </w:rPr>
              <w:t>Proxy Summary</w:t>
            </w:r>
          </w:p>
        </w:tc>
        <w:tc>
          <w:tcPr>
            <w:tcW w:w="1720" w:type="dxa"/>
            <w:vAlign w:val="bottom"/>
          </w:tcPr>
          <w:p>
            <w:pPr>
              <w:ind w:left="880"/>
              <w:spacing w:after="0"/>
              <w:rPr>
                <w:sz w:val="20"/>
                <w:szCs w:val="20"/>
                <w:color w:val="auto"/>
              </w:rPr>
            </w:pPr>
            <w:r>
              <w:rPr>
                <w:rFonts w:ascii="Arial" w:cs="Arial" w:eastAsia="Arial" w:hAnsi="Arial"/>
                <w:sz w:val="17"/>
                <w:szCs w:val="17"/>
                <w:b w:val="1"/>
                <w:bCs w:val="1"/>
                <w:color w:val="auto"/>
              </w:rPr>
              <w:t>2</w:t>
            </w:r>
          </w:p>
        </w:tc>
      </w:tr>
      <w:tr>
        <w:trPr>
          <w:trHeight w:val="234"/>
        </w:trPr>
        <w:tc>
          <w:tcPr>
            <w:tcW w:w="9520" w:type="dxa"/>
            <w:vAlign w:val="bottom"/>
          </w:tcPr>
          <w:p>
            <w:pPr>
              <w:ind w:left="20"/>
              <w:spacing w:after="0"/>
              <w:rPr>
                <w:sz w:val="20"/>
                <w:szCs w:val="20"/>
                <w:color w:val="auto"/>
              </w:rPr>
            </w:pPr>
            <w:r>
              <w:rPr>
                <w:rFonts w:ascii="Arial" w:cs="Arial" w:eastAsia="Arial" w:hAnsi="Arial"/>
                <w:sz w:val="16"/>
                <w:szCs w:val="16"/>
                <w:color w:val="auto"/>
              </w:rPr>
              <w:t>Board of Directors</w:t>
            </w:r>
          </w:p>
        </w:tc>
        <w:tc>
          <w:tcPr>
            <w:tcW w:w="1720" w:type="dxa"/>
            <w:vAlign w:val="bottom"/>
          </w:tcPr>
          <w:p>
            <w:pPr>
              <w:ind w:left="880"/>
              <w:spacing w:after="0"/>
              <w:rPr>
                <w:sz w:val="20"/>
                <w:szCs w:val="20"/>
                <w:color w:val="auto"/>
              </w:rPr>
            </w:pPr>
            <w:r>
              <w:rPr>
                <w:rFonts w:ascii="Arial" w:cs="Arial" w:eastAsia="Arial" w:hAnsi="Arial"/>
                <w:sz w:val="16"/>
                <w:szCs w:val="16"/>
                <w:color w:val="auto"/>
              </w:rPr>
              <w:t>2</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Stockholder Outreach</w:t>
            </w:r>
          </w:p>
        </w:tc>
        <w:tc>
          <w:tcPr>
            <w:tcW w:w="1720" w:type="dxa"/>
            <w:vAlign w:val="bottom"/>
          </w:tcPr>
          <w:p>
            <w:pPr>
              <w:ind w:left="880"/>
              <w:spacing w:after="0"/>
              <w:rPr>
                <w:sz w:val="20"/>
                <w:szCs w:val="20"/>
                <w:color w:val="auto"/>
              </w:rPr>
            </w:pPr>
            <w:r>
              <w:rPr>
                <w:rFonts w:ascii="Arial" w:cs="Arial" w:eastAsia="Arial" w:hAnsi="Arial"/>
                <w:sz w:val="16"/>
                <w:szCs w:val="16"/>
                <w:color w:val="auto"/>
              </w:rPr>
              <w:t>4</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Fiscal 2023 Compensation Highlights</w:t>
            </w:r>
          </w:p>
        </w:tc>
        <w:tc>
          <w:tcPr>
            <w:tcW w:w="1720" w:type="dxa"/>
            <w:vAlign w:val="bottom"/>
          </w:tcPr>
          <w:p>
            <w:pPr>
              <w:ind w:left="880"/>
              <w:spacing w:after="0"/>
              <w:rPr>
                <w:sz w:val="20"/>
                <w:szCs w:val="20"/>
                <w:color w:val="auto"/>
              </w:rPr>
            </w:pPr>
            <w:r>
              <w:rPr>
                <w:rFonts w:ascii="Arial" w:cs="Arial" w:eastAsia="Arial" w:hAnsi="Arial"/>
                <w:sz w:val="16"/>
                <w:szCs w:val="16"/>
                <w:color w:val="auto"/>
              </w:rPr>
              <w:t>5</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Voting Roadmap and Vote Recommendations</w:t>
            </w:r>
          </w:p>
        </w:tc>
        <w:tc>
          <w:tcPr>
            <w:tcW w:w="1720" w:type="dxa"/>
            <w:vAlign w:val="bottom"/>
          </w:tcPr>
          <w:p>
            <w:pPr>
              <w:ind w:left="880"/>
              <w:spacing w:after="0"/>
              <w:rPr>
                <w:sz w:val="20"/>
                <w:szCs w:val="20"/>
                <w:color w:val="auto"/>
              </w:rPr>
            </w:pPr>
            <w:r>
              <w:rPr>
                <w:rFonts w:ascii="Arial" w:cs="Arial" w:eastAsia="Arial" w:hAnsi="Arial"/>
                <w:sz w:val="16"/>
                <w:szCs w:val="16"/>
                <w:color w:val="auto"/>
              </w:rPr>
              <w:t>7</w:t>
            </w:r>
          </w:p>
        </w:tc>
      </w:tr>
      <w:tr>
        <w:trPr>
          <w:trHeight w:val="406"/>
        </w:trPr>
        <w:tc>
          <w:tcPr>
            <w:tcW w:w="9520" w:type="dxa"/>
            <w:vAlign w:val="bottom"/>
          </w:tcPr>
          <w:p>
            <w:pPr>
              <w:ind w:left="20"/>
              <w:spacing w:after="0"/>
              <w:rPr>
                <w:sz w:val="20"/>
                <w:szCs w:val="20"/>
                <w:color w:val="auto"/>
              </w:rPr>
            </w:pPr>
            <w:r>
              <w:rPr>
                <w:rFonts w:ascii="Arial" w:cs="Arial" w:eastAsia="Arial" w:hAnsi="Arial"/>
                <w:sz w:val="17"/>
                <w:szCs w:val="17"/>
                <w:b w:val="1"/>
                <w:bCs w:val="1"/>
                <w:color w:val="auto"/>
              </w:rPr>
              <w:t>Proposal 1: Election of Directors</w:t>
            </w:r>
          </w:p>
        </w:tc>
        <w:tc>
          <w:tcPr>
            <w:tcW w:w="1720" w:type="dxa"/>
            <w:vAlign w:val="bottom"/>
          </w:tcPr>
          <w:p>
            <w:pPr>
              <w:ind w:left="880"/>
              <w:spacing w:after="0"/>
              <w:rPr>
                <w:sz w:val="20"/>
                <w:szCs w:val="20"/>
                <w:color w:val="auto"/>
              </w:rPr>
            </w:pPr>
            <w:r>
              <w:rPr>
                <w:rFonts w:ascii="Arial" w:cs="Arial" w:eastAsia="Arial" w:hAnsi="Arial"/>
                <w:sz w:val="17"/>
                <w:szCs w:val="17"/>
                <w:b w:val="1"/>
                <w:bCs w:val="1"/>
                <w:color w:val="auto"/>
              </w:rPr>
              <w:t>8</w:t>
            </w:r>
          </w:p>
        </w:tc>
      </w:tr>
      <w:tr>
        <w:trPr>
          <w:trHeight w:val="234"/>
        </w:trPr>
        <w:tc>
          <w:tcPr>
            <w:tcW w:w="9520" w:type="dxa"/>
            <w:vAlign w:val="bottom"/>
          </w:tcPr>
          <w:p>
            <w:pPr>
              <w:ind w:left="20"/>
              <w:spacing w:after="0"/>
              <w:rPr>
                <w:sz w:val="20"/>
                <w:szCs w:val="20"/>
                <w:color w:val="auto"/>
              </w:rPr>
            </w:pPr>
            <w:r>
              <w:rPr>
                <w:rFonts w:ascii="Arial" w:cs="Arial" w:eastAsia="Arial" w:hAnsi="Arial"/>
                <w:sz w:val="16"/>
                <w:szCs w:val="16"/>
                <w:color w:val="auto"/>
              </w:rPr>
              <w:t>Information Regarding Nominees and Continuing Directors</w:t>
            </w:r>
          </w:p>
        </w:tc>
        <w:tc>
          <w:tcPr>
            <w:tcW w:w="1720" w:type="dxa"/>
            <w:vAlign w:val="bottom"/>
          </w:tcPr>
          <w:p>
            <w:pPr>
              <w:ind w:left="880"/>
              <w:spacing w:after="0"/>
              <w:rPr>
                <w:sz w:val="20"/>
                <w:szCs w:val="20"/>
                <w:color w:val="auto"/>
              </w:rPr>
            </w:pPr>
            <w:r>
              <w:rPr>
                <w:rFonts w:ascii="Arial" w:cs="Arial" w:eastAsia="Arial" w:hAnsi="Arial"/>
                <w:sz w:val="16"/>
                <w:szCs w:val="16"/>
                <w:color w:val="auto"/>
              </w:rPr>
              <w:t>9</w:t>
            </w:r>
          </w:p>
        </w:tc>
      </w:tr>
      <w:tr>
        <w:trPr>
          <w:trHeight w:val="406"/>
        </w:trPr>
        <w:tc>
          <w:tcPr>
            <w:tcW w:w="9520" w:type="dxa"/>
            <w:vAlign w:val="bottom"/>
          </w:tcPr>
          <w:p>
            <w:pPr>
              <w:ind w:left="20"/>
              <w:spacing w:after="0"/>
              <w:rPr>
                <w:sz w:val="20"/>
                <w:szCs w:val="20"/>
                <w:color w:val="auto"/>
              </w:rPr>
            </w:pPr>
            <w:r>
              <w:rPr>
                <w:rFonts w:ascii="Arial" w:cs="Arial" w:eastAsia="Arial" w:hAnsi="Arial"/>
                <w:sz w:val="17"/>
                <w:szCs w:val="17"/>
                <w:b w:val="1"/>
                <w:bCs w:val="1"/>
                <w:color w:val="auto"/>
              </w:rPr>
              <w:t>Information Regarding the Board of Directors and Corporate Governance</w:t>
            </w:r>
          </w:p>
        </w:tc>
        <w:tc>
          <w:tcPr>
            <w:tcW w:w="1720" w:type="dxa"/>
            <w:vAlign w:val="bottom"/>
          </w:tcPr>
          <w:p>
            <w:pPr>
              <w:ind w:left="880"/>
              <w:spacing w:after="0"/>
              <w:rPr>
                <w:sz w:val="20"/>
                <w:szCs w:val="20"/>
                <w:color w:val="auto"/>
              </w:rPr>
            </w:pPr>
            <w:r>
              <w:rPr>
                <w:rFonts w:ascii="Arial" w:cs="Arial" w:eastAsia="Arial" w:hAnsi="Arial"/>
                <w:sz w:val="17"/>
                <w:szCs w:val="17"/>
                <w:b w:val="1"/>
                <w:bCs w:val="1"/>
                <w:color w:val="auto"/>
              </w:rPr>
              <w:t>13</w:t>
            </w:r>
          </w:p>
        </w:tc>
      </w:tr>
      <w:tr>
        <w:trPr>
          <w:trHeight w:val="234"/>
        </w:trPr>
        <w:tc>
          <w:tcPr>
            <w:tcW w:w="9520" w:type="dxa"/>
            <w:vAlign w:val="bottom"/>
          </w:tcPr>
          <w:p>
            <w:pPr>
              <w:ind w:left="20"/>
              <w:spacing w:after="0"/>
              <w:rPr>
                <w:sz w:val="20"/>
                <w:szCs w:val="20"/>
                <w:color w:val="auto"/>
              </w:rPr>
            </w:pPr>
            <w:r>
              <w:rPr>
                <w:rFonts w:ascii="Arial" w:cs="Arial" w:eastAsia="Arial" w:hAnsi="Arial"/>
                <w:sz w:val="16"/>
                <w:szCs w:val="16"/>
                <w:color w:val="auto"/>
              </w:rPr>
              <w:t>Identifying and Evaluating Nominees for Directors</w:t>
            </w:r>
          </w:p>
        </w:tc>
        <w:tc>
          <w:tcPr>
            <w:tcW w:w="1720" w:type="dxa"/>
            <w:vAlign w:val="bottom"/>
          </w:tcPr>
          <w:p>
            <w:pPr>
              <w:ind w:left="880"/>
              <w:spacing w:after="0"/>
              <w:rPr>
                <w:sz w:val="20"/>
                <w:szCs w:val="20"/>
                <w:color w:val="auto"/>
              </w:rPr>
            </w:pPr>
            <w:r>
              <w:rPr>
                <w:rFonts w:ascii="Arial" w:cs="Arial" w:eastAsia="Arial" w:hAnsi="Arial"/>
                <w:sz w:val="16"/>
                <w:szCs w:val="16"/>
                <w:color w:val="auto"/>
              </w:rPr>
              <w:t>13</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Director Independence</w:t>
            </w:r>
          </w:p>
        </w:tc>
        <w:tc>
          <w:tcPr>
            <w:tcW w:w="1720" w:type="dxa"/>
            <w:vAlign w:val="bottom"/>
          </w:tcPr>
          <w:p>
            <w:pPr>
              <w:ind w:left="880"/>
              <w:spacing w:after="0"/>
              <w:rPr>
                <w:sz w:val="20"/>
                <w:szCs w:val="20"/>
                <w:color w:val="auto"/>
              </w:rPr>
            </w:pPr>
            <w:r>
              <w:rPr>
                <w:rFonts w:ascii="Arial" w:cs="Arial" w:eastAsia="Arial" w:hAnsi="Arial"/>
                <w:sz w:val="16"/>
                <w:szCs w:val="16"/>
                <w:color w:val="auto"/>
              </w:rPr>
              <w:t>13</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Board Diversity and Refreshment; Director Tenure</w:t>
            </w:r>
          </w:p>
        </w:tc>
        <w:tc>
          <w:tcPr>
            <w:tcW w:w="1720" w:type="dxa"/>
            <w:vAlign w:val="bottom"/>
          </w:tcPr>
          <w:p>
            <w:pPr>
              <w:ind w:left="880"/>
              <w:spacing w:after="0"/>
              <w:rPr>
                <w:sz w:val="20"/>
                <w:szCs w:val="20"/>
                <w:color w:val="auto"/>
              </w:rPr>
            </w:pPr>
            <w:r>
              <w:rPr>
                <w:rFonts w:ascii="Arial" w:cs="Arial" w:eastAsia="Arial" w:hAnsi="Arial"/>
                <w:sz w:val="16"/>
                <w:szCs w:val="16"/>
                <w:color w:val="auto"/>
              </w:rPr>
              <w:t>14</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Board Leadership Structure</w:t>
            </w:r>
          </w:p>
        </w:tc>
        <w:tc>
          <w:tcPr>
            <w:tcW w:w="1720" w:type="dxa"/>
            <w:vAlign w:val="bottom"/>
          </w:tcPr>
          <w:p>
            <w:pPr>
              <w:ind w:left="880"/>
              <w:spacing w:after="0"/>
              <w:rPr>
                <w:sz w:val="20"/>
                <w:szCs w:val="20"/>
                <w:color w:val="auto"/>
              </w:rPr>
            </w:pPr>
            <w:r>
              <w:rPr>
                <w:rFonts w:ascii="Arial" w:cs="Arial" w:eastAsia="Arial" w:hAnsi="Arial"/>
                <w:sz w:val="16"/>
                <w:szCs w:val="16"/>
                <w:color w:val="auto"/>
              </w:rPr>
              <w:t>15</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Role of the Board in Risk Oversight</w:t>
            </w:r>
          </w:p>
        </w:tc>
        <w:tc>
          <w:tcPr>
            <w:tcW w:w="1720" w:type="dxa"/>
            <w:vAlign w:val="bottom"/>
          </w:tcPr>
          <w:p>
            <w:pPr>
              <w:ind w:left="880"/>
              <w:spacing w:after="0"/>
              <w:rPr>
                <w:sz w:val="20"/>
                <w:szCs w:val="20"/>
                <w:color w:val="auto"/>
              </w:rPr>
            </w:pPr>
            <w:r>
              <w:rPr>
                <w:rFonts w:ascii="Arial" w:cs="Arial" w:eastAsia="Arial" w:hAnsi="Arial"/>
                <w:sz w:val="16"/>
                <w:szCs w:val="16"/>
                <w:color w:val="auto"/>
              </w:rPr>
              <w:t>15</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Corporate Governance Guidelines</w:t>
            </w:r>
          </w:p>
        </w:tc>
        <w:tc>
          <w:tcPr>
            <w:tcW w:w="1720" w:type="dxa"/>
            <w:vAlign w:val="bottom"/>
          </w:tcPr>
          <w:p>
            <w:pPr>
              <w:ind w:left="880"/>
              <w:spacing w:after="0"/>
              <w:rPr>
                <w:sz w:val="20"/>
                <w:szCs w:val="20"/>
                <w:color w:val="auto"/>
              </w:rPr>
            </w:pPr>
            <w:r>
              <w:rPr>
                <w:rFonts w:ascii="Arial" w:cs="Arial" w:eastAsia="Arial" w:hAnsi="Arial"/>
                <w:sz w:val="16"/>
                <w:szCs w:val="16"/>
                <w:color w:val="auto"/>
              </w:rPr>
              <w:t>16</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Code of Conduct</w:t>
            </w:r>
          </w:p>
        </w:tc>
        <w:tc>
          <w:tcPr>
            <w:tcW w:w="1720" w:type="dxa"/>
            <w:vAlign w:val="bottom"/>
          </w:tcPr>
          <w:p>
            <w:pPr>
              <w:ind w:left="880"/>
              <w:spacing w:after="0"/>
              <w:rPr>
                <w:sz w:val="20"/>
                <w:szCs w:val="20"/>
                <w:color w:val="auto"/>
              </w:rPr>
            </w:pPr>
            <w:r>
              <w:rPr>
                <w:rFonts w:ascii="Arial" w:cs="Arial" w:eastAsia="Arial" w:hAnsi="Arial"/>
                <w:sz w:val="16"/>
                <w:szCs w:val="16"/>
                <w:color w:val="auto"/>
              </w:rPr>
              <w:t>16</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Environmental, Social and Governance</w:t>
            </w:r>
          </w:p>
        </w:tc>
        <w:tc>
          <w:tcPr>
            <w:tcW w:w="1720" w:type="dxa"/>
            <w:vAlign w:val="bottom"/>
          </w:tcPr>
          <w:p>
            <w:pPr>
              <w:ind w:left="880"/>
              <w:spacing w:after="0"/>
              <w:rPr>
                <w:sz w:val="20"/>
                <w:szCs w:val="20"/>
                <w:color w:val="auto"/>
              </w:rPr>
            </w:pPr>
            <w:r>
              <w:rPr>
                <w:rFonts w:ascii="Arial" w:cs="Arial" w:eastAsia="Arial" w:hAnsi="Arial"/>
                <w:sz w:val="16"/>
                <w:szCs w:val="16"/>
                <w:color w:val="auto"/>
              </w:rPr>
              <w:t>16</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Meetings of the Board and Committees</w:t>
            </w:r>
          </w:p>
        </w:tc>
        <w:tc>
          <w:tcPr>
            <w:tcW w:w="1720" w:type="dxa"/>
            <w:vAlign w:val="bottom"/>
          </w:tcPr>
          <w:p>
            <w:pPr>
              <w:ind w:left="880"/>
              <w:spacing w:after="0"/>
              <w:rPr>
                <w:sz w:val="20"/>
                <w:szCs w:val="20"/>
                <w:color w:val="auto"/>
              </w:rPr>
            </w:pPr>
            <w:r>
              <w:rPr>
                <w:rFonts w:ascii="Arial" w:cs="Arial" w:eastAsia="Arial" w:hAnsi="Arial"/>
                <w:sz w:val="16"/>
                <w:szCs w:val="16"/>
                <w:color w:val="auto"/>
              </w:rPr>
              <w:t>16</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Information Regarding Committees of the Board</w:t>
            </w:r>
          </w:p>
        </w:tc>
        <w:tc>
          <w:tcPr>
            <w:tcW w:w="1720" w:type="dxa"/>
            <w:vAlign w:val="bottom"/>
          </w:tcPr>
          <w:p>
            <w:pPr>
              <w:ind w:left="880"/>
              <w:spacing w:after="0"/>
              <w:rPr>
                <w:sz w:val="20"/>
                <w:szCs w:val="20"/>
                <w:color w:val="auto"/>
              </w:rPr>
            </w:pPr>
            <w:r>
              <w:rPr>
                <w:rFonts w:ascii="Arial" w:cs="Arial" w:eastAsia="Arial" w:hAnsi="Arial"/>
                <w:sz w:val="16"/>
                <w:szCs w:val="16"/>
                <w:color w:val="auto"/>
              </w:rPr>
              <w:t>16</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Board and Committee Evaluations</w:t>
            </w:r>
          </w:p>
        </w:tc>
        <w:tc>
          <w:tcPr>
            <w:tcW w:w="1720" w:type="dxa"/>
            <w:vAlign w:val="bottom"/>
          </w:tcPr>
          <w:p>
            <w:pPr>
              <w:ind w:left="880"/>
              <w:spacing w:after="0"/>
              <w:rPr>
                <w:sz w:val="20"/>
                <w:szCs w:val="20"/>
                <w:color w:val="auto"/>
              </w:rPr>
            </w:pPr>
            <w:r>
              <w:rPr>
                <w:rFonts w:ascii="Arial" w:cs="Arial" w:eastAsia="Arial" w:hAnsi="Arial"/>
                <w:sz w:val="16"/>
                <w:szCs w:val="16"/>
                <w:color w:val="auto"/>
              </w:rPr>
              <w:t>19</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Communications with the Board</w:t>
            </w:r>
          </w:p>
        </w:tc>
        <w:tc>
          <w:tcPr>
            <w:tcW w:w="1720" w:type="dxa"/>
            <w:vAlign w:val="bottom"/>
          </w:tcPr>
          <w:p>
            <w:pPr>
              <w:ind w:left="880"/>
              <w:spacing w:after="0"/>
              <w:rPr>
                <w:sz w:val="20"/>
                <w:szCs w:val="20"/>
                <w:color w:val="auto"/>
              </w:rPr>
            </w:pPr>
            <w:r>
              <w:rPr>
                <w:rFonts w:ascii="Arial" w:cs="Arial" w:eastAsia="Arial" w:hAnsi="Arial"/>
                <w:sz w:val="16"/>
                <w:szCs w:val="16"/>
                <w:color w:val="auto"/>
              </w:rPr>
              <w:t>20</w:t>
            </w:r>
          </w:p>
        </w:tc>
      </w:tr>
      <w:tr>
        <w:trPr>
          <w:trHeight w:val="406"/>
        </w:trPr>
        <w:tc>
          <w:tcPr>
            <w:tcW w:w="9520" w:type="dxa"/>
            <w:vAlign w:val="bottom"/>
          </w:tcPr>
          <w:p>
            <w:pPr>
              <w:ind w:left="20"/>
              <w:spacing w:after="0"/>
              <w:rPr>
                <w:sz w:val="20"/>
                <w:szCs w:val="20"/>
                <w:color w:val="auto"/>
              </w:rPr>
            </w:pPr>
            <w:r>
              <w:rPr>
                <w:rFonts w:ascii="Arial" w:cs="Arial" w:eastAsia="Arial" w:hAnsi="Arial"/>
                <w:sz w:val="17"/>
                <w:szCs w:val="17"/>
                <w:b w:val="1"/>
                <w:bCs w:val="1"/>
                <w:color w:val="auto"/>
              </w:rPr>
              <w:t>Director Compensation</w:t>
            </w:r>
          </w:p>
        </w:tc>
        <w:tc>
          <w:tcPr>
            <w:tcW w:w="1720" w:type="dxa"/>
            <w:vAlign w:val="bottom"/>
          </w:tcPr>
          <w:p>
            <w:pPr>
              <w:ind w:left="880"/>
              <w:spacing w:after="0"/>
              <w:rPr>
                <w:sz w:val="20"/>
                <w:szCs w:val="20"/>
                <w:color w:val="auto"/>
              </w:rPr>
            </w:pPr>
            <w:r>
              <w:rPr>
                <w:rFonts w:ascii="Arial" w:cs="Arial" w:eastAsia="Arial" w:hAnsi="Arial"/>
                <w:sz w:val="17"/>
                <w:szCs w:val="17"/>
                <w:b w:val="1"/>
                <w:bCs w:val="1"/>
                <w:color w:val="auto"/>
              </w:rPr>
              <w:t>21</w:t>
            </w:r>
          </w:p>
        </w:tc>
      </w:tr>
      <w:tr>
        <w:trPr>
          <w:trHeight w:val="405"/>
        </w:trPr>
        <w:tc>
          <w:tcPr>
            <w:tcW w:w="9520" w:type="dxa"/>
            <w:vAlign w:val="bottom"/>
          </w:tcPr>
          <w:p>
            <w:pPr>
              <w:ind w:left="20"/>
              <w:spacing w:after="0"/>
              <w:rPr>
                <w:sz w:val="20"/>
                <w:szCs w:val="20"/>
                <w:color w:val="auto"/>
              </w:rPr>
            </w:pPr>
            <w:r>
              <w:rPr>
                <w:rFonts w:ascii="Arial" w:cs="Arial" w:eastAsia="Arial" w:hAnsi="Arial"/>
                <w:sz w:val="17"/>
                <w:szCs w:val="17"/>
                <w:b w:val="1"/>
                <w:bCs w:val="1"/>
                <w:color w:val="auto"/>
              </w:rPr>
              <w:t>Management</w:t>
            </w:r>
          </w:p>
        </w:tc>
        <w:tc>
          <w:tcPr>
            <w:tcW w:w="1720" w:type="dxa"/>
            <w:vAlign w:val="bottom"/>
          </w:tcPr>
          <w:p>
            <w:pPr>
              <w:ind w:left="880"/>
              <w:spacing w:after="0"/>
              <w:rPr>
                <w:sz w:val="20"/>
                <w:szCs w:val="20"/>
                <w:color w:val="auto"/>
              </w:rPr>
            </w:pPr>
            <w:r>
              <w:rPr>
                <w:rFonts w:ascii="Arial" w:cs="Arial" w:eastAsia="Arial" w:hAnsi="Arial"/>
                <w:sz w:val="17"/>
                <w:szCs w:val="17"/>
                <w:b w:val="1"/>
                <w:bCs w:val="1"/>
                <w:color w:val="auto"/>
              </w:rPr>
              <w:t>24</w:t>
            </w:r>
          </w:p>
        </w:tc>
      </w:tr>
      <w:tr>
        <w:trPr>
          <w:trHeight w:val="405"/>
        </w:trPr>
        <w:tc>
          <w:tcPr>
            <w:tcW w:w="9520" w:type="dxa"/>
            <w:vAlign w:val="bottom"/>
          </w:tcPr>
          <w:p>
            <w:pPr>
              <w:ind w:left="20"/>
              <w:spacing w:after="0"/>
              <w:rPr>
                <w:sz w:val="20"/>
                <w:szCs w:val="20"/>
                <w:color w:val="auto"/>
              </w:rPr>
            </w:pPr>
            <w:r>
              <w:rPr>
                <w:rFonts w:ascii="Arial" w:cs="Arial" w:eastAsia="Arial" w:hAnsi="Arial"/>
                <w:sz w:val="17"/>
                <w:szCs w:val="17"/>
                <w:b w:val="1"/>
                <w:bCs w:val="1"/>
                <w:color w:val="auto"/>
              </w:rPr>
              <w:t>Executive Compensation</w:t>
            </w:r>
          </w:p>
        </w:tc>
        <w:tc>
          <w:tcPr>
            <w:tcW w:w="1720" w:type="dxa"/>
            <w:vAlign w:val="bottom"/>
          </w:tcPr>
          <w:p>
            <w:pPr>
              <w:ind w:left="880"/>
              <w:spacing w:after="0"/>
              <w:rPr>
                <w:sz w:val="20"/>
                <w:szCs w:val="20"/>
                <w:color w:val="auto"/>
              </w:rPr>
            </w:pPr>
            <w:r>
              <w:rPr>
                <w:rFonts w:ascii="Arial" w:cs="Arial" w:eastAsia="Arial" w:hAnsi="Arial"/>
                <w:sz w:val="17"/>
                <w:szCs w:val="17"/>
                <w:b w:val="1"/>
                <w:bCs w:val="1"/>
                <w:color w:val="auto"/>
              </w:rPr>
              <w:t>25</w:t>
            </w:r>
          </w:p>
        </w:tc>
      </w:tr>
      <w:tr>
        <w:trPr>
          <w:trHeight w:val="234"/>
        </w:trPr>
        <w:tc>
          <w:tcPr>
            <w:tcW w:w="9520" w:type="dxa"/>
            <w:vAlign w:val="bottom"/>
          </w:tcPr>
          <w:p>
            <w:pPr>
              <w:ind w:left="20"/>
              <w:spacing w:after="0"/>
              <w:rPr>
                <w:sz w:val="20"/>
                <w:szCs w:val="20"/>
                <w:color w:val="auto"/>
              </w:rPr>
            </w:pPr>
            <w:r>
              <w:rPr>
                <w:rFonts w:ascii="Arial" w:cs="Arial" w:eastAsia="Arial" w:hAnsi="Arial"/>
                <w:sz w:val="16"/>
                <w:szCs w:val="16"/>
                <w:color w:val="auto"/>
              </w:rPr>
              <w:t>Compensation Discussion and Analysis</w:t>
            </w:r>
          </w:p>
        </w:tc>
        <w:tc>
          <w:tcPr>
            <w:tcW w:w="1720" w:type="dxa"/>
            <w:vAlign w:val="bottom"/>
          </w:tcPr>
          <w:p>
            <w:pPr>
              <w:ind w:left="880"/>
              <w:spacing w:after="0"/>
              <w:rPr>
                <w:sz w:val="20"/>
                <w:szCs w:val="20"/>
                <w:color w:val="auto"/>
              </w:rPr>
            </w:pPr>
            <w:r>
              <w:rPr>
                <w:rFonts w:ascii="Arial" w:cs="Arial" w:eastAsia="Arial" w:hAnsi="Arial"/>
                <w:sz w:val="16"/>
                <w:szCs w:val="16"/>
                <w:color w:val="auto"/>
              </w:rPr>
              <w:t>25</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Compensation Committee Report</w:t>
            </w:r>
          </w:p>
        </w:tc>
        <w:tc>
          <w:tcPr>
            <w:tcW w:w="1720" w:type="dxa"/>
            <w:vAlign w:val="bottom"/>
          </w:tcPr>
          <w:p>
            <w:pPr>
              <w:ind w:left="880"/>
              <w:spacing w:after="0"/>
              <w:rPr>
                <w:sz w:val="20"/>
                <w:szCs w:val="20"/>
                <w:color w:val="auto"/>
              </w:rPr>
            </w:pPr>
            <w:r>
              <w:rPr>
                <w:rFonts w:ascii="Arial" w:cs="Arial" w:eastAsia="Arial" w:hAnsi="Arial"/>
                <w:sz w:val="16"/>
                <w:szCs w:val="16"/>
                <w:color w:val="auto"/>
              </w:rPr>
              <w:t>47</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Executive Compensation Tables</w:t>
            </w:r>
          </w:p>
        </w:tc>
        <w:tc>
          <w:tcPr>
            <w:tcW w:w="1720" w:type="dxa"/>
            <w:vAlign w:val="bottom"/>
          </w:tcPr>
          <w:p>
            <w:pPr>
              <w:ind w:left="880"/>
              <w:spacing w:after="0"/>
              <w:rPr>
                <w:sz w:val="20"/>
                <w:szCs w:val="20"/>
                <w:color w:val="auto"/>
              </w:rPr>
            </w:pPr>
            <w:r>
              <w:rPr>
                <w:rFonts w:ascii="Arial" w:cs="Arial" w:eastAsia="Arial" w:hAnsi="Arial"/>
                <w:sz w:val="16"/>
                <w:szCs w:val="16"/>
                <w:color w:val="auto"/>
              </w:rPr>
              <w:t>48</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Employment Contracts and Termination of Employment and Change of Control Arrangements</w:t>
            </w:r>
          </w:p>
        </w:tc>
        <w:tc>
          <w:tcPr>
            <w:tcW w:w="1720" w:type="dxa"/>
            <w:vAlign w:val="bottom"/>
          </w:tcPr>
          <w:p>
            <w:pPr>
              <w:ind w:left="880"/>
              <w:spacing w:after="0"/>
              <w:rPr>
                <w:sz w:val="20"/>
                <w:szCs w:val="20"/>
                <w:color w:val="auto"/>
              </w:rPr>
            </w:pPr>
            <w:r>
              <w:rPr>
                <w:rFonts w:ascii="Arial" w:cs="Arial" w:eastAsia="Arial" w:hAnsi="Arial"/>
                <w:sz w:val="16"/>
                <w:szCs w:val="16"/>
                <w:color w:val="auto"/>
              </w:rPr>
              <w:t>54</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CEO Pay Ratio</w:t>
            </w:r>
          </w:p>
        </w:tc>
        <w:tc>
          <w:tcPr>
            <w:tcW w:w="1720" w:type="dxa"/>
            <w:vAlign w:val="bottom"/>
          </w:tcPr>
          <w:p>
            <w:pPr>
              <w:ind w:left="880"/>
              <w:spacing w:after="0"/>
              <w:rPr>
                <w:sz w:val="20"/>
                <w:szCs w:val="20"/>
                <w:color w:val="auto"/>
              </w:rPr>
            </w:pPr>
            <w:r>
              <w:rPr>
                <w:rFonts w:ascii="Arial" w:cs="Arial" w:eastAsia="Arial" w:hAnsi="Arial"/>
                <w:sz w:val="16"/>
                <w:szCs w:val="16"/>
                <w:color w:val="auto"/>
              </w:rPr>
              <w:t>58</w:t>
            </w: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Pay Versus Performance</w:t>
            </w:r>
          </w:p>
        </w:tc>
        <w:tc>
          <w:tcPr>
            <w:tcW w:w="1720" w:type="dxa"/>
            <w:vAlign w:val="bottom"/>
          </w:tcPr>
          <w:p>
            <w:pPr>
              <w:ind w:left="880"/>
              <w:spacing w:after="0"/>
              <w:rPr>
                <w:sz w:val="20"/>
                <w:szCs w:val="20"/>
                <w:color w:val="auto"/>
              </w:rPr>
            </w:pPr>
            <w:r>
              <w:rPr>
                <w:rFonts w:ascii="Arial" w:cs="Arial" w:eastAsia="Arial" w:hAnsi="Arial"/>
                <w:sz w:val="16"/>
                <w:szCs w:val="16"/>
                <w:color w:val="auto"/>
              </w:rPr>
              <w:t>59</w:t>
            </w:r>
          </w:p>
        </w:tc>
      </w:tr>
      <w:tr>
        <w:trPr>
          <w:trHeight w:val="406"/>
        </w:trPr>
        <w:tc>
          <w:tcPr>
            <w:tcW w:w="9520" w:type="dxa"/>
            <w:vAlign w:val="bottom"/>
          </w:tcPr>
          <w:p>
            <w:pPr>
              <w:ind w:left="20"/>
              <w:spacing w:after="0"/>
              <w:rPr>
                <w:sz w:val="20"/>
                <w:szCs w:val="20"/>
                <w:color w:val="auto"/>
              </w:rPr>
            </w:pPr>
            <w:r>
              <w:rPr>
                <w:rFonts w:ascii="Arial" w:cs="Arial" w:eastAsia="Arial" w:hAnsi="Arial"/>
                <w:sz w:val="17"/>
                <w:szCs w:val="17"/>
                <w:b w:val="1"/>
                <w:bCs w:val="1"/>
                <w:color w:val="auto"/>
              </w:rPr>
              <w:t>Proposal 2: Advisory Vote to Approve Executive Compensation</w:t>
            </w:r>
          </w:p>
        </w:tc>
        <w:tc>
          <w:tcPr>
            <w:tcW w:w="1720" w:type="dxa"/>
            <w:vAlign w:val="bottom"/>
          </w:tcPr>
          <w:p>
            <w:pPr>
              <w:ind w:left="880"/>
              <w:spacing w:after="0"/>
              <w:rPr>
                <w:sz w:val="20"/>
                <w:szCs w:val="20"/>
                <w:color w:val="auto"/>
              </w:rPr>
            </w:pPr>
            <w:r>
              <w:rPr>
                <w:rFonts w:ascii="Arial" w:cs="Arial" w:eastAsia="Arial" w:hAnsi="Arial"/>
                <w:sz w:val="17"/>
                <w:szCs w:val="17"/>
                <w:b w:val="1"/>
                <w:bCs w:val="1"/>
                <w:color w:val="auto"/>
              </w:rPr>
              <w:t>62</w:t>
            </w:r>
          </w:p>
        </w:tc>
      </w:tr>
      <w:tr>
        <w:trPr>
          <w:trHeight w:val="405"/>
        </w:trPr>
        <w:tc>
          <w:tcPr>
            <w:tcW w:w="9520" w:type="dxa"/>
            <w:vAlign w:val="bottom"/>
          </w:tcPr>
          <w:p>
            <w:pPr>
              <w:ind w:left="20"/>
              <w:spacing w:after="0"/>
              <w:rPr>
                <w:sz w:val="20"/>
                <w:szCs w:val="20"/>
                <w:color w:val="auto"/>
              </w:rPr>
            </w:pPr>
            <w:r>
              <w:rPr>
                <w:rFonts w:ascii="Arial" w:cs="Arial" w:eastAsia="Arial" w:hAnsi="Arial"/>
                <w:sz w:val="17"/>
                <w:szCs w:val="17"/>
                <w:b w:val="1"/>
                <w:bCs w:val="1"/>
                <w:color w:val="auto"/>
              </w:rPr>
              <w:t>Proposal 3: Advisory Vote on the Frequency of Stockholder Advisory Votes on Executive Compensation</w:t>
            </w:r>
          </w:p>
        </w:tc>
        <w:tc>
          <w:tcPr>
            <w:tcW w:w="1720" w:type="dxa"/>
            <w:vAlign w:val="bottom"/>
          </w:tcPr>
          <w:p>
            <w:pPr>
              <w:ind w:left="880"/>
              <w:spacing w:after="0"/>
              <w:rPr>
                <w:sz w:val="20"/>
                <w:szCs w:val="20"/>
                <w:color w:val="auto"/>
              </w:rPr>
            </w:pPr>
            <w:r>
              <w:rPr>
                <w:rFonts w:ascii="Arial" w:cs="Arial" w:eastAsia="Arial" w:hAnsi="Arial"/>
                <w:sz w:val="17"/>
                <w:szCs w:val="17"/>
                <w:b w:val="1"/>
                <w:bCs w:val="1"/>
                <w:color w:val="auto"/>
              </w:rPr>
              <w:t>63</w:t>
            </w:r>
          </w:p>
        </w:tc>
      </w:tr>
      <w:tr>
        <w:trPr>
          <w:trHeight w:val="405"/>
        </w:trPr>
        <w:tc>
          <w:tcPr>
            <w:tcW w:w="9520" w:type="dxa"/>
            <w:vAlign w:val="bottom"/>
          </w:tcPr>
          <w:p>
            <w:pPr>
              <w:ind w:left="20"/>
              <w:spacing w:after="0"/>
              <w:rPr>
                <w:sz w:val="20"/>
                <w:szCs w:val="20"/>
                <w:color w:val="auto"/>
              </w:rPr>
            </w:pPr>
            <w:r>
              <w:rPr>
                <w:rFonts w:ascii="Arial" w:cs="Arial" w:eastAsia="Arial" w:hAnsi="Arial"/>
                <w:sz w:val="17"/>
                <w:szCs w:val="17"/>
                <w:b w:val="1"/>
                <w:bCs w:val="1"/>
                <w:color w:val="auto"/>
              </w:rPr>
              <w:t>Proposal 4: Ratification of Selection of Independent Registered Public Accounting Firm</w:t>
            </w:r>
          </w:p>
        </w:tc>
        <w:tc>
          <w:tcPr>
            <w:tcW w:w="1720" w:type="dxa"/>
            <w:vAlign w:val="bottom"/>
          </w:tcPr>
          <w:p>
            <w:pPr>
              <w:ind w:left="880"/>
              <w:spacing w:after="0"/>
              <w:rPr>
                <w:sz w:val="20"/>
                <w:szCs w:val="20"/>
                <w:color w:val="auto"/>
              </w:rPr>
            </w:pPr>
            <w:r>
              <w:rPr>
                <w:rFonts w:ascii="Arial" w:cs="Arial" w:eastAsia="Arial" w:hAnsi="Arial"/>
                <w:sz w:val="17"/>
                <w:szCs w:val="17"/>
                <w:b w:val="1"/>
                <w:bCs w:val="1"/>
                <w:color w:val="auto"/>
              </w:rPr>
              <w:t>64</w:t>
            </w:r>
          </w:p>
        </w:tc>
      </w:tr>
      <w:tr>
        <w:trPr>
          <w:trHeight w:val="405"/>
        </w:trPr>
        <w:tc>
          <w:tcPr>
            <w:tcW w:w="9520" w:type="dxa"/>
            <w:vAlign w:val="bottom"/>
          </w:tcPr>
          <w:p>
            <w:pPr>
              <w:ind w:left="20"/>
              <w:spacing w:after="0"/>
              <w:rPr>
                <w:sz w:val="20"/>
                <w:szCs w:val="20"/>
                <w:color w:val="auto"/>
              </w:rPr>
            </w:pPr>
            <w:r>
              <w:rPr>
                <w:rFonts w:ascii="Arial" w:cs="Arial" w:eastAsia="Arial" w:hAnsi="Arial"/>
                <w:sz w:val="17"/>
                <w:szCs w:val="17"/>
                <w:b w:val="1"/>
                <w:bCs w:val="1"/>
                <w:color w:val="auto"/>
              </w:rPr>
              <w:t>Report of the Audit Committee of the Board</w:t>
            </w:r>
          </w:p>
        </w:tc>
        <w:tc>
          <w:tcPr>
            <w:tcW w:w="1720" w:type="dxa"/>
            <w:vAlign w:val="bottom"/>
          </w:tcPr>
          <w:p>
            <w:pPr>
              <w:ind w:left="880"/>
              <w:spacing w:after="0"/>
              <w:rPr>
                <w:sz w:val="20"/>
                <w:szCs w:val="20"/>
                <w:color w:val="auto"/>
              </w:rPr>
            </w:pPr>
            <w:r>
              <w:rPr>
                <w:rFonts w:ascii="Arial" w:cs="Arial" w:eastAsia="Arial" w:hAnsi="Arial"/>
                <w:sz w:val="17"/>
                <w:szCs w:val="17"/>
                <w:b w:val="1"/>
                <w:bCs w:val="1"/>
                <w:color w:val="auto"/>
              </w:rPr>
              <w:t>66</w:t>
            </w:r>
          </w:p>
        </w:tc>
      </w:tr>
      <w:tr>
        <w:trPr>
          <w:trHeight w:val="975"/>
        </w:trPr>
        <w:tc>
          <w:tcPr>
            <w:tcW w:w="9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0"/>
        </w:trPr>
        <w:tc>
          <w:tcPr>
            <w:tcW w:w="8940" w:type="dxa"/>
            <w:vAlign w:val="bottom"/>
          </w:tcPr>
          <w:p>
            <w:pPr>
              <w:ind w:left="20"/>
              <w:spacing w:after="0"/>
              <w:rPr>
                <w:sz w:val="20"/>
                <w:szCs w:val="20"/>
                <w:color w:val="auto"/>
              </w:rPr>
            </w:pPr>
            <w:r>
              <w:rPr>
                <w:rFonts w:ascii="Arial" w:cs="Arial" w:eastAsia="Arial" w:hAnsi="Arial"/>
                <w:sz w:val="17"/>
                <w:szCs w:val="17"/>
                <w:b w:val="1"/>
                <w:bCs w:val="1"/>
                <w:color w:val="auto"/>
              </w:rPr>
              <w:t>Other Information</w:t>
            </w:r>
          </w:p>
        </w:tc>
        <w:tc>
          <w:tcPr>
            <w:tcW w:w="2300" w:type="dxa"/>
            <w:vAlign w:val="bottom"/>
          </w:tcPr>
          <w:p>
            <w:pPr>
              <w:ind w:left="1460"/>
              <w:spacing w:after="0"/>
              <w:rPr>
                <w:sz w:val="20"/>
                <w:szCs w:val="20"/>
                <w:color w:val="auto"/>
              </w:rPr>
            </w:pPr>
            <w:r>
              <w:rPr>
                <w:rFonts w:ascii="Arial" w:cs="Arial" w:eastAsia="Arial" w:hAnsi="Arial"/>
                <w:sz w:val="17"/>
                <w:szCs w:val="17"/>
                <w:b w:val="1"/>
                <w:bCs w:val="1"/>
                <w:color w:val="auto"/>
              </w:rPr>
              <w:t>67</w:t>
            </w:r>
          </w:p>
        </w:tc>
      </w:tr>
      <w:tr>
        <w:trPr>
          <w:trHeight w:val="234"/>
        </w:trPr>
        <w:tc>
          <w:tcPr>
            <w:tcW w:w="8940" w:type="dxa"/>
            <w:vAlign w:val="bottom"/>
          </w:tcPr>
          <w:p>
            <w:pPr>
              <w:ind w:left="20"/>
              <w:spacing w:after="0"/>
              <w:rPr>
                <w:sz w:val="20"/>
                <w:szCs w:val="20"/>
                <w:color w:val="auto"/>
              </w:rPr>
            </w:pPr>
            <w:r>
              <w:rPr>
                <w:rFonts w:ascii="Arial" w:cs="Arial" w:eastAsia="Arial" w:hAnsi="Arial"/>
                <w:sz w:val="16"/>
                <w:szCs w:val="16"/>
                <w:color w:val="auto"/>
              </w:rPr>
              <w:t>Security Ownership of Certain Beneficial Owners and Management</w:t>
            </w:r>
          </w:p>
        </w:tc>
        <w:tc>
          <w:tcPr>
            <w:tcW w:w="2300" w:type="dxa"/>
            <w:vAlign w:val="bottom"/>
          </w:tcPr>
          <w:p>
            <w:pPr>
              <w:ind w:left="1460"/>
              <w:spacing w:after="0"/>
              <w:rPr>
                <w:sz w:val="20"/>
                <w:szCs w:val="20"/>
                <w:color w:val="auto"/>
              </w:rPr>
            </w:pPr>
            <w:r>
              <w:rPr>
                <w:rFonts w:ascii="Arial" w:cs="Arial" w:eastAsia="Arial" w:hAnsi="Arial"/>
                <w:sz w:val="16"/>
                <w:szCs w:val="16"/>
                <w:color w:val="auto"/>
              </w:rPr>
              <w:t>67</w:t>
            </w:r>
          </w:p>
        </w:tc>
      </w:tr>
      <w:tr>
        <w:trPr>
          <w:trHeight w:val="235"/>
        </w:trPr>
        <w:tc>
          <w:tcPr>
            <w:tcW w:w="8940" w:type="dxa"/>
            <w:vAlign w:val="bottom"/>
          </w:tcPr>
          <w:p>
            <w:pPr>
              <w:ind w:left="20"/>
              <w:spacing w:after="0"/>
              <w:rPr>
                <w:sz w:val="20"/>
                <w:szCs w:val="20"/>
                <w:color w:val="auto"/>
              </w:rPr>
            </w:pPr>
            <w:r>
              <w:rPr>
                <w:rFonts w:ascii="Arial" w:cs="Arial" w:eastAsia="Arial" w:hAnsi="Arial"/>
                <w:sz w:val="16"/>
                <w:szCs w:val="16"/>
                <w:color w:val="auto"/>
              </w:rPr>
              <w:t>Equity Compensation Plan Information</w:t>
            </w:r>
          </w:p>
        </w:tc>
        <w:tc>
          <w:tcPr>
            <w:tcW w:w="2300" w:type="dxa"/>
            <w:vAlign w:val="bottom"/>
          </w:tcPr>
          <w:p>
            <w:pPr>
              <w:ind w:left="1460"/>
              <w:spacing w:after="0"/>
              <w:rPr>
                <w:sz w:val="20"/>
                <w:szCs w:val="20"/>
                <w:color w:val="auto"/>
              </w:rPr>
            </w:pPr>
            <w:r>
              <w:rPr>
                <w:rFonts w:ascii="Arial" w:cs="Arial" w:eastAsia="Arial" w:hAnsi="Arial"/>
                <w:sz w:val="16"/>
                <w:szCs w:val="16"/>
                <w:color w:val="auto"/>
              </w:rPr>
              <w:t>69</w:t>
            </w:r>
          </w:p>
        </w:tc>
      </w:tr>
      <w:tr>
        <w:trPr>
          <w:trHeight w:val="235"/>
        </w:trPr>
        <w:tc>
          <w:tcPr>
            <w:tcW w:w="8940" w:type="dxa"/>
            <w:vAlign w:val="bottom"/>
          </w:tcPr>
          <w:p>
            <w:pPr>
              <w:ind w:left="20"/>
              <w:spacing w:after="0"/>
              <w:rPr>
                <w:sz w:val="20"/>
                <w:szCs w:val="20"/>
                <w:color w:val="auto"/>
              </w:rPr>
            </w:pPr>
            <w:r>
              <w:rPr>
                <w:rFonts w:ascii="Arial" w:cs="Arial" w:eastAsia="Arial" w:hAnsi="Arial"/>
                <w:sz w:val="16"/>
                <w:szCs w:val="16"/>
                <w:color w:val="auto"/>
              </w:rPr>
              <w:t>Transactions with Related Persons</w:t>
            </w:r>
          </w:p>
        </w:tc>
        <w:tc>
          <w:tcPr>
            <w:tcW w:w="2300" w:type="dxa"/>
            <w:vAlign w:val="bottom"/>
          </w:tcPr>
          <w:p>
            <w:pPr>
              <w:ind w:left="1460"/>
              <w:spacing w:after="0"/>
              <w:rPr>
                <w:sz w:val="20"/>
                <w:szCs w:val="20"/>
                <w:color w:val="auto"/>
              </w:rPr>
            </w:pPr>
            <w:r>
              <w:rPr>
                <w:rFonts w:ascii="Arial" w:cs="Arial" w:eastAsia="Arial" w:hAnsi="Arial"/>
                <w:sz w:val="16"/>
                <w:szCs w:val="16"/>
                <w:color w:val="auto"/>
              </w:rPr>
              <w:t>70</w:t>
            </w:r>
          </w:p>
        </w:tc>
      </w:tr>
      <w:tr>
        <w:trPr>
          <w:trHeight w:val="235"/>
        </w:trPr>
        <w:tc>
          <w:tcPr>
            <w:tcW w:w="8940" w:type="dxa"/>
            <w:vAlign w:val="bottom"/>
          </w:tcPr>
          <w:p>
            <w:pPr>
              <w:ind w:left="20"/>
              <w:spacing w:after="0"/>
              <w:rPr>
                <w:sz w:val="20"/>
                <w:szCs w:val="20"/>
                <w:color w:val="auto"/>
              </w:rPr>
            </w:pPr>
            <w:r>
              <w:rPr>
                <w:rFonts w:ascii="Arial" w:cs="Arial" w:eastAsia="Arial" w:hAnsi="Arial"/>
                <w:sz w:val="16"/>
                <w:szCs w:val="16"/>
                <w:color w:val="auto"/>
              </w:rPr>
              <w:t>Delinquent Section 16(a) Reports</w:t>
            </w:r>
          </w:p>
        </w:tc>
        <w:tc>
          <w:tcPr>
            <w:tcW w:w="2300" w:type="dxa"/>
            <w:vAlign w:val="bottom"/>
          </w:tcPr>
          <w:p>
            <w:pPr>
              <w:ind w:left="1460"/>
              <w:spacing w:after="0"/>
              <w:rPr>
                <w:sz w:val="20"/>
                <w:szCs w:val="20"/>
                <w:color w:val="auto"/>
              </w:rPr>
            </w:pPr>
            <w:r>
              <w:rPr>
                <w:rFonts w:ascii="Arial" w:cs="Arial" w:eastAsia="Arial" w:hAnsi="Arial"/>
                <w:sz w:val="16"/>
                <w:szCs w:val="16"/>
                <w:color w:val="auto"/>
              </w:rPr>
              <w:t>70</w:t>
            </w:r>
          </w:p>
        </w:tc>
      </w:tr>
      <w:tr>
        <w:trPr>
          <w:trHeight w:val="235"/>
        </w:trPr>
        <w:tc>
          <w:tcPr>
            <w:tcW w:w="8940" w:type="dxa"/>
            <w:vAlign w:val="bottom"/>
          </w:tcPr>
          <w:p>
            <w:pPr>
              <w:ind w:left="20"/>
              <w:spacing w:after="0"/>
              <w:rPr>
                <w:sz w:val="20"/>
                <w:szCs w:val="20"/>
                <w:color w:val="auto"/>
              </w:rPr>
            </w:pPr>
            <w:r>
              <w:rPr>
                <w:rFonts w:ascii="Arial" w:cs="Arial" w:eastAsia="Arial" w:hAnsi="Arial"/>
                <w:sz w:val="16"/>
                <w:szCs w:val="16"/>
                <w:color w:val="auto"/>
              </w:rPr>
              <w:t>Householding of Proxy Materials</w:t>
            </w:r>
          </w:p>
        </w:tc>
        <w:tc>
          <w:tcPr>
            <w:tcW w:w="2300" w:type="dxa"/>
            <w:vAlign w:val="bottom"/>
          </w:tcPr>
          <w:p>
            <w:pPr>
              <w:ind w:left="1460"/>
              <w:spacing w:after="0"/>
              <w:rPr>
                <w:sz w:val="20"/>
                <w:szCs w:val="20"/>
                <w:color w:val="auto"/>
              </w:rPr>
            </w:pPr>
            <w:r>
              <w:rPr>
                <w:rFonts w:ascii="Arial" w:cs="Arial" w:eastAsia="Arial" w:hAnsi="Arial"/>
                <w:sz w:val="16"/>
                <w:szCs w:val="16"/>
                <w:color w:val="auto"/>
              </w:rPr>
              <w:t>70</w:t>
            </w:r>
          </w:p>
        </w:tc>
      </w:tr>
      <w:tr>
        <w:trPr>
          <w:trHeight w:val="235"/>
        </w:trPr>
        <w:tc>
          <w:tcPr>
            <w:tcW w:w="8940" w:type="dxa"/>
            <w:vAlign w:val="bottom"/>
          </w:tcPr>
          <w:p>
            <w:pPr>
              <w:ind w:left="20"/>
              <w:spacing w:after="0"/>
              <w:rPr>
                <w:sz w:val="20"/>
                <w:szCs w:val="20"/>
                <w:color w:val="auto"/>
              </w:rPr>
            </w:pPr>
            <w:r>
              <w:rPr>
                <w:rFonts w:ascii="Arial" w:cs="Arial" w:eastAsia="Arial" w:hAnsi="Arial"/>
                <w:sz w:val="16"/>
                <w:szCs w:val="16"/>
                <w:color w:val="auto"/>
              </w:rPr>
              <w:t>Other Matters</w:t>
            </w:r>
          </w:p>
        </w:tc>
        <w:tc>
          <w:tcPr>
            <w:tcW w:w="2300" w:type="dxa"/>
            <w:vAlign w:val="bottom"/>
          </w:tcPr>
          <w:p>
            <w:pPr>
              <w:ind w:left="1460"/>
              <w:spacing w:after="0"/>
              <w:rPr>
                <w:sz w:val="20"/>
                <w:szCs w:val="20"/>
                <w:color w:val="auto"/>
              </w:rPr>
            </w:pPr>
            <w:r>
              <w:rPr>
                <w:rFonts w:ascii="Arial" w:cs="Arial" w:eastAsia="Arial" w:hAnsi="Arial"/>
                <w:sz w:val="16"/>
                <w:szCs w:val="16"/>
                <w:color w:val="auto"/>
              </w:rPr>
              <w:t>71</w:t>
            </w:r>
          </w:p>
        </w:tc>
      </w:tr>
      <w:tr>
        <w:trPr>
          <w:trHeight w:val="406"/>
        </w:trPr>
        <w:tc>
          <w:tcPr>
            <w:tcW w:w="8940" w:type="dxa"/>
            <w:vAlign w:val="bottom"/>
          </w:tcPr>
          <w:p>
            <w:pPr>
              <w:ind w:left="20"/>
              <w:spacing w:after="0"/>
              <w:rPr>
                <w:sz w:val="20"/>
                <w:szCs w:val="20"/>
                <w:color w:val="auto"/>
              </w:rPr>
            </w:pPr>
            <w:r>
              <w:rPr>
                <w:rFonts w:ascii="Arial" w:cs="Arial" w:eastAsia="Arial" w:hAnsi="Arial"/>
                <w:sz w:val="17"/>
                <w:szCs w:val="17"/>
                <w:b w:val="1"/>
                <w:bCs w:val="1"/>
                <w:color w:val="auto"/>
              </w:rPr>
              <w:t>Questions and Answers about these Proxy Materials and Voting</w:t>
            </w:r>
          </w:p>
        </w:tc>
        <w:tc>
          <w:tcPr>
            <w:tcW w:w="2300" w:type="dxa"/>
            <w:vAlign w:val="bottom"/>
          </w:tcPr>
          <w:p>
            <w:pPr>
              <w:ind w:left="1460"/>
              <w:spacing w:after="0"/>
              <w:rPr>
                <w:sz w:val="20"/>
                <w:szCs w:val="20"/>
                <w:color w:val="auto"/>
              </w:rPr>
            </w:pPr>
            <w:r>
              <w:rPr>
                <w:rFonts w:ascii="Arial" w:cs="Arial" w:eastAsia="Arial" w:hAnsi="Arial"/>
                <w:sz w:val="17"/>
                <w:szCs w:val="17"/>
                <w:b w:val="1"/>
                <w:bCs w:val="1"/>
                <w:color w:val="auto"/>
              </w:rPr>
              <w:t>72</w:t>
            </w:r>
          </w:p>
        </w:tc>
      </w:tr>
      <w:tr>
        <w:trPr>
          <w:trHeight w:val="405"/>
        </w:trPr>
        <w:tc>
          <w:tcPr>
            <w:tcW w:w="8940" w:type="dxa"/>
            <w:vAlign w:val="bottom"/>
          </w:tcPr>
          <w:p>
            <w:pPr>
              <w:ind w:left="20"/>
              <w:spacing w:after="0"/>
              <w:rPr>
                <w:sz w:val="20"/>
                <w:szCs w:val="20"/>
                <w:color w:val="auto"/>
              </w:rPr>
            </w:pPr>
            <w:r>
              <w:rPr>
                <w:rFonts w:ascii="Arial" w:cs="Arial" w:eastAsia="Arial" w:hAnsi="Arial"/>
                <w:sz w:val="17"/>
                <w:szCs w:val="17"/>
                <w:b w:val="1"/>
                <w:bCs w:val="1"/>
                <w:color w:val="auto"/>
              </w:rPr>
              <w:t>Appendix A-Reconciliation of GAAP Financial Measures to Non-GAAP Financial Measures</w:t>
            </w:r>
          </w:p>
        </w:tc>
        <w:tc>
          <w:tcPr>
            <w:tcW w:w="2300" w:type="dxa"/>
            <w:vAlign w:val="bottom"/>
          </w:tcPr>
          <w:p>
            <w:pPr>
              <w:ind w:left="1460"/>
              <w:spacing w:after="0"/>
              <w:rPr>
                <w:sz w:val="20"/>
                <w:szCs w:val="20"/>
                <w:color w:val="auto"/>
              </w:rPr>
            </w:pPr>
            <w:r>
              <w:rPr>
                <w:rFonts w:ascii="Arial" w:cs="Arial" w:eastAsia="Arial" w:hAnsi="Arial"/>
                <w:sz w:val="17"/>
                <w:szCs w:val="17"/>
                <w:b w:val="1"/>
                <w:bCs w:val="1"/>
                <w:color w:val="auto"/>
              </w:rPr>
              <w:t>78</w:t>
            </w:r>
          </w:p>
        </w:tc>
      </w:tr>
      <w:tr>
        <w:trPr>
          <w:trHeight w:val="844"/>
        </w:trPr>
        <w:tc>
          <w:tcPr>
            <w:tcW w:w="89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spacing w:after="0"/>
        <w:rPr>
          <w:sz w:val="20"/>
          <w:szCs w:val="20"/>
          <w:color w:val="auto"/>
        </w:rPr>
      </w:pPr>
      <w:r>
        <w:rPr>
          <w:rFonts w:ascii="Arial" w:cs="Arial" w:eastAsia="Arial" w:hAnsi="Arial"/>
          <w:sz w:val="42"/>
          <w:szCs w:val="4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765" cy="8348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8348345"/>
                    </a:xfrm>
                    <a:prstGeom prst="rect">
                      <a:avLst/>
                    </a:prstGeom>
                    <a:noFill/>
                  </pic:spPr>
                </pic:pic>
              </a:graphicData>
            </a:graphic>
          </wp:anchor>
        </w:drawing>
        <w:t>Enphase at a Glance</w:t>
      </w:r>
    </w:p>
    <w:p>
      <w:pPr>
        <w:spacing w:after="0" w:line="3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build best-in-class home energy systems and deliver them to homeowners through our installer and distribution partners, enabled by a comprehensive digital platform. In 2023, we continued to innovate, focus on installers and homeowners, and reported solid net revenues and profitability.</w:t>
      </w:r>
    </w:p>
    <w:p>
      <w:pPr>
        <w:spacing w:after="0" w:line="200" w:lineRule="exact"/>
        <w:rPr>
          <w:sz w:val="20"/>
          <w:szCs w:val="20"/>
          <w:color w:val="auto"/>
        </w:rPr>
      </w:pPr>
    </w:p>
    <w:p>
      <w:pPr>
        <w:spacing w:after="0" w:line="240" w:lineRule="exact"/>
        <w:rPr>
          <w:sz w:val="20"/>
          <w:szCs w:val="20"/>
          <w:color w:val="auto"/>
        </w:rPr>
      </w:pPr>
    </w:p>
    <w:p>
      <w:pPr>
        <w:ind w:left="1860"/>
        <w:spacing w:after="0"/>
        <w:tabs>
          <w:tab w:leader="none" w:pos="4760" w:val="left"/>
          <w:tab w:leader="none" w:pos="7700" w:val="left"/>
        </w:tabs>
        <w:rPr>
          <w:sz w:val="20"/>
          <w:szCs w:val="20"/>
          <w:color w:val="auto"/>
        </w:rPr>
      </w:pPr>
      <w:r>
        <w:rPr>
          <w:rFonts w:ascii="Arial" w:cs="Arial" w:eastAsia="Arial" w:hAnsi="Arial"/>
          <w:sz w:val="16"/>
          <w:szCs w:val="16"/>
          <w:color w:val="auto"/>
        </w:rPr>
        <w:t>Founded in 2006, with 3,157</w:t>
      </w:r>
      <w:r>
        <w:rPr>
          <w:sz w:val="20"/>
          <w:szCs w:val="20"/>
          <w:color w:val="auto"/>
        </w:rPr>
        <w:tab/>
      </w:r>
      <w:r>
        <w:rPr>
          <w:rFonts w:ascii="Arial" w:cs="Arial" w:eastAsia="Arial" w:hAnsi="Arial"/>
          <w:sz w:val="16"/>
          <w:szCs w:val="16"/>
          <w:color w:val="auto"/>
        </w:rPr>
        <w:t>Headquartered in Fremont,</w:t>
      </w:r>
      <w:r>
        <w:rPr>
          <w:sz w:val="20"/>
          <w:szCs w:val="20"/>
          <w:color w:val="auto"/>
        </w:rPr>
        <w:tab/>
      </w:r>
      <w:r>
        <w:rPr>
          <w:rFonts w:ascii="Arial" w:cs="Arial" w:eastAsia="Arial" w:hAnsi="Arial"/>
          <w:sz w:val="15"/>
          <w:szCs w:val="15"/>
          <w:color w:val="auto"/>
        </w:rPr>
        <w:t>Our customers are installers,</w:t>
      </w:r>
    </w:p>
    <w:p>
      <w:pPr>
        <w:spacing w:after="0" w:line="38" w:lineRule="exact"/>
        <w:rPr>
          <w:sz w:val="20"/>
          <w:szCs w:val="20"/>
          <w:color w:val="auto"/>
        </w:rPr>
      </w:pPr>
    </w:p>
    <w:p>
      <w:pPr>
        <w:ind w:left="1860"/>
        <w:spacing w:after="0"/>
        <w:tabs>
          <w:tab w:leader="none" w:pos="4760" w:val="left"/>
          <w:tab w:leader="none" w:pos="7700" w:val="left"/>
        </w:tabs>
        <w:rPr>
          <w:sz w:val="20"/>
          <w:szCs w:val="20"/>
          <w:color w:val="auto"/>
        </w:rPr>
      </w:pPr>
      <w:r>
        <w:rPr>
          <w:rFonts w:ascii="Arial" w:cs="Arial" w:eastAsia="Arial" w:hAnsi="Arial"/>
          <w:sz w:val="16"/>
          <w:szCs w:val="16"/>
          <w:color w:val="auto"/>
        </w:rPr>
        <w:t>employees</w:t>
      </w:r>
      <w:r>
        <w:rPr>
          <w:rFonts w:ascii="Arial" w:cs="Arial" w:eastAsia="Arial" w:hAnsi="Arial"/>
          <w:sz w:val="20"/>
          <w:szCs w:val="20"/>
          <w:color w:val="auto"/>
          <w:vertAlign w:val="superscript"/>
        </w:rPr>
        <w:t>1</w:t>
      </w:r>
      <w:r>
        <w:rPr>
          <w:sz w:val="20"/>
          <w:szCs w:val="20"/>
          <w:color w:val="auto"/>
        </w:rPr>
        <w:tab/>
      </w:r>
      <w:r>
        <w:rPr>
          <w:rFonts w:ascii="Arial" w:cs="Arial" w:eastAsia="Arial" w:hAnsi="Arial"/>
          <w:sz w:val="16"/>
          <w:szCs w:val="16"/>
          <w:color w:val="auto"/>
        </w:rPr>
        <w:t>California with offices globally</w:t>
      </w:r>
      <w:r>
        <w:rPr>
          <w:sz w:val="20"/>
          <w:szCs w:val="20"/>
          <w:color w:val="auto"/>
        </w:rPr>
        <w:tab/>
      </w:r>
      <w:r>
        <w:rPr>
          <w:rFonts w:ascii="Arial" w:cs="Arial" w:eastAsia="Arial" w:hAnsi="Arial"/>
          <w:sz w:val="15"/>
          <w:szCs w:val="15"/>
          <w:color w:val="auto"/>
        </w:rPr>
        <w:t>homeowners and module</w:t>
      </w:r>
    </w:p>
    <w:p>
      <w:pPr>
        <w:spacing w:after="0" w:line="6"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partners</w:t>
      </w:r>
    </w:p>
    <w:p>
      <w:pPr>
        <w:sectPr>
          <w:pgSz w:w="11900" w:h="16838" w:orient="portrait"/>
          <w:cols w:equalWidth="0" w:num="1">
            <w:col w:w="11240"/>
          </w:cols>
          <w:pgMar w:left="320" w:top="751"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1860" w:right="400"/>
        <w:spacing w:after="0" w:line="309" w:lineRule="auto"/>
        <w:rPr>
          <w:sz w:val="20"/>
          <w:szCs w:val="20"/>
          <w:color w:val="auto"/>
        </w:rPr>
      </w:pPr>
      <w:r>
        <w:rPr>
          <w:rFonts w:ascii="Arial" w:cs="Arial" w:eastAsia="Arial" w:hAnsi="Arial"/>
          <w:sz w:val="16"/>
          <w:szCs w:val="16"/>
          <w:color w:val="auto"/>
        </w:rPr>
        <w:t>More than 1,750 installers in the Enphase Installer Network</w:t>
      </w:r>
      <w:r>
        <w:rPr>
          <w:rFonts w:ascii="Arial" w:cs="Arial" w:eastAsia="Arial" w:hAnsi="Arial"/>
          <w:sz w:val="20"/>
          <w:szCs w:val="20"/>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860" w:right="360"/>
        <w:spacing w:after="0" w:line="335" w:lineRule="auto"/>
        <w:rPr>
          <w:sz w:val="20"/>
          <w:szCs w:val="20"/>
          <w:color w:val="auto"/>
        </w:rPr>
      </w:pPr>
      <w:r>
        <w:rPr>
          <w:rFonts w:ascii="Arial" w:cs="Arial" w:eastAsia="Arial" w:hAnsi="Arial"/>
          <w:sz w:val="15"/>
          <w:szCs w:val="15"/>
          <w:color w:val="auto"/>
        </w:rPr>
        <w:t>More than 4,700 installers worldwide certified on IQ® Batteries</w:t>
      </w:r>
      <w:r>
        <w:rPr>
          <w:rFonts w:ascii="Arial" w:cs="Arial" w:eastAsia="Arial" w:hAnsi="Arial"/>
          <w:sz w:val="19"/>
          <w:szCs w:val="19"/>
          <w:color w:val="auto"/>
          <w:vertAlign w:val="superscript"/>
        </w:rPr>
        <w:t>1</w:t>
      </w:r>
    </w:p>
    <w:p>
      <w:pPr>
        <w:spacing w:after="0" w:line="200" w:lineRule="exact"/>
        <w:rPr>
          <w:sz w:val="20"/>
          <w:szCs w:val="20"/>
          <w:color w:val="auto"/>
        </w:rPr>
      </w:pPr>
    </w:p>
    <w:p>
      <w:pPr>
        <w:spacing w:after="0" w:line="229" w:lineRule="exact"/>
        <w:rPr>
          <w:sz w:val="20"/>
          <w:szCs w:val="20"/>
          <w:color w:val="auto"/>
        </w:rPr>
      </w:pPr>
    </w:p>
    <w:p>
      <w:pPr>
        <w:ind w:left="1860" w:right="120"/>
        <w:spacing w:after="0" w:line="318" w:lineRule="auto"/>
        <w:rPr>
          <w:sz w:val="20"/>
          <w:szCs w:val="20"/>
          <w:color w:val="auto"/>
        </w:rPr>
      </w:pPr>
      <w:r>
        <w:rPr>
          <w:rFonts w:ascii="Arial" w:cs="Arial" w:eastAsia="Arial" w:hAnsi="Arial"/>
          <w:sz w:val="16"/>
          <w:szCs w:val="16"/>
          <w:color w:val="auto"/>
        </w:rPr>
        <w:t>2023 net revenues were $2.3 billion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right="240"/>
        <w:spacing w:after="0" w:line="321" w:lineRule="auto"/>
        <w:rPr>
          <w:sz w:val="20"/>
          <w:szCs w:val="20"/>
          <w:color w:val="auto"/>
        </w:rPr>
      </w:pPr>
      <w:r>
        <w:rPr>
          <w:rFonts w:ascii="Arial" w:cs="Arial" w:eastAsia="Arial" w:hAnsi="Arial"/>
          <w:sz w:val="15"/>
          <w:szCs w:val="15"/>
          <w:color w:val="auto"/>
        </w:rPr>
        <w:t>More than 73 million microinverters shipped since inception, representing approx. 25.2 GW</w:t>
      </w:r>
      <w:r>
        <w:rPr>
          <w:rFonts w:ascii="Arial" w:cs="Arial" w:eastAsia="Arial" w:hAnsi="Arial"/>
          <w:sz w:val="19"/>
          <w:szCs w:val="19"/>
          <w:color w:val="auto"/>
          <w:vertAlign w:val="superscript"/>
        </w:rPr>
        <w:t>1</w:t>
      </w:r>
    </w:p>
    <w:p>
      <w:pPr>
        <w:spacing w:after="0" w:line="200" w:lineRule="exact"/>
        <w:rPr>
          <w:sz w:val="20"/>
          <w:szCs w:val="20"/>
          <w:color w:val="auto"/>
        </w:rPr>
      </w:pPr>
    </w:p>
    <w:p>
      <w:pPr>
        <w:spacing w:after="0" w:line="253" w:lineRule="exact"/>
        <w:rPr>
          <w:sz w:val="20"/>
          <w:szCs w:val="20"/>
          <w:color w:val="auto"/>
        </w:rPr>
      </w:pPr>
    </w:p>
    <w:p>
      <w:pPr>
        <w:ind w:right="120"/>
        <w:spacing w:after="0" w:line="355" w:lineRule="auto"/>
        <w:rPr>
          <w:sz w:val="20"/>
          <w:szCs w:val="20"/>
          <w:color w:val="auto"/>
        </w:rPr>
      </w:pPr>
      <w:r>
        <w:rPr>
          <w:rFonts w:ascii="Arial" w:cs="Arial" w:eastAsia="Arial" w:hAnsi="Arial"/>
          <w:sz w:val="15"/>
          <w:szCs w:val="15"/>
          <w:color w:val="auto"/>
        </w:rPr>
        <w:t>1.2 GWh of cumulative energy storage systems shipped</w:t>
      </w:r>
      <w:r>
        <w:rPr>
          <w:rFonts w:ascii="Arial" w:cs="Arial" w:eastAsia="Arial" w:hAnsi="Arial"/>
          <w:sz w:val="19"/>
          <w:szCs w:val="19"/>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2023 GAAP gross margin was 46.2%; 2023 Non-GAAP gross margin was 47.1%</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right="1520"/>
        <w:spacing w:after="0" w:line="335" w:lineRule="auto"/>
        <w:rPr>
          <w:sz w:val="20"/>
          <w:szCs w:val="20"/>
          <w:color w:val="auto"/>
        </w:rPr>
      </w:pPr>
      <w:r>
        <w:rPr>
          <w:rFonts w:ascii="Arial" w:cs="Arial" w:eastAsia="Arial" w:hAnsi="Arial"/>
          <w:sz w:val="15"/>
          <w:szCs w:val="15"/>
          <w:color w:val="auto"/>
        </w:rPr>
        <w:t>More than 4.0 million cumulative systems installed in over 150 countries</w:t>
      </w:r>
      <w:r>
        <w:rPr>
          <w:rFonts w:ascii="Arial" w:cs="Arial" w:eastAsia="Arial" w:hAnsi="Arial"/>
          <w:sz w:val="19"/>
          <w:szCs w:val="19"/>
          <w:color w:val="auto"/>
          <w:vertAlign w:val="superscript"/>
        </w:rPr>
        <w:t>1,2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More than 400 patents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globally</w:t>
      </w:r>
      <w:r>
        <w:rPr>
          <w:rFonts w:ascii="Arial" w:cs="Arial" w:eastAsia="Arial" w:hAnsi="Arial"/>
          <w:sz w:val="20"/>
          <w:szCs w:val="20"/>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2023 GAAP net income</w:t>
      </w:r>
    </w:p>
    <w:p>
      <w:pPr>
        <w:spacing w:after="0" w:line="38" w:lineRule="exact"/>
        <w:rPr>
          <w:sz w:val="20"/>
          <w:szCs w:val="20"/>
          <w:color w:val="auto"/>
        </w:rPr>
      </w:pPr>
    </w:p>
    <w:p>
      <w:pPr>
        <w:jc w:val="both"/>
        <w:ind w:right="1400"/>
        <w:spacing w:after="0" w:line="302" w:lineRule="auto"/>
        <w:rPr>
          <w:sz w:val="20"/>
          <w:szCs w:val="20"/>
          <w:color w:val="auto"/>
        </w:rPr>
      </w:pPr>
      <w:r>
        <w:rPr>
          <w:rFonts w:ascii="Arial" w:cs="Arial" w:eastAsia="Arial" w:hAnsi="Arial"/>
          <w:sz w:val="16"/>
          <w:szCs w:val="16"/>
          <w:color w:val="auto"/>
        </w:rPr>
        <w:t>was $438.9 million; 2023 Non-GAAP net income was $613.2 million</w:t>
      </w:r>
      <w:r>
        <w:rPr>
          <w:rFonts w:ascii="Arial" w:cs="Arial" w:eastAsia="Arial" w:hAnsi="Arial"/>
          <w:sz w:val="20"/>
          <w:szCs w:val="20"/>
          <w:color w:val="auto"/>
          <w:vertAlign w:val="superscript"/>
        </w:rPr>
        <w:t>3</w:t>
      </w:r>
    </w:p>
    <w:p>
      <w:pPr>
        <w:spacing w:after="0" w:line="200" w:lineRule="exact"/>
        <w:rPr>
          <w:sz w:val="20"/>
          <w:szCs w:val="20"/>
          <w:color w:val="auto"/>
        </w:rPr>
      </w:pPr>
    </w:p>
    <w:p>
      <w:pPr>
        <w:sectPr>
          <w:pgSz w:w="11900" w:h="16838" w:orient="portrait"/>
          <w:cols w:equalWidth="0" w:num="3">
            <w:col w:w="4060" w:space="720"/>
            <w:col w:w="2220" w:space="720"/>
            <w:col w:w="3520"/>
          </w:cols>
          <w:pgMar w:left="320" w:top="7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hanging="195"/>
        <w:spacing w:after="0"/>
        <w:tabs>
          <w:tab w:leader="none" w:pos="200" w:val="left"/>
        </w:tabs>
        <w:numPr>
          <w:ilvl w:val="0"/>
          <w:numId w:val="6"/>
        </w:numPr>
        <w:rPr>
          <w:rFonts w:ascii="Arial" w:cs="Arial" w:eastAsia="Arial" w:hAnsi="Arial"/>
          <w:sz w:val="18"/>
          <w:szCs w:val="18"/>
          <w:color w:val="7D7D7D"/>
          <w:vertAlign w:val="superscript"/>
        </w:rPr>
      </w:pPr>
      <w:r>
        <w:rPr>
          <w:rFonts w:ascii="Arial" w:cs="Arial" w:eastAsia="Arial" w:hAnsi="Arial"/>
          <w:sz w:val="14"/>
          <w:szCs w:val="14"/>
          <w:color w:val="7D7D7D"/>
        </w:rPr>
        <w:t>As of December 31,2023</w:t>
      </w:r>
    </w:p>
    <w:p>
      <w:pPr>
        <w:ind w:left="200" w:hanging="195"/>
        <w:spacing w:after="0" w:line="202" w:lineRule="auto"/>
        <w:tabs>
          <w:tab w:leader="none" w:pos="200" w:val="left"/>
        </w:tabs>
        <w:numPr>
          <w:ilvl w:val="0"/>
          <w:numId w:val="7"/>
        </w:numPr>
        <w:rPr>
          <w:rFonts w:ascii="Arial" w:cs="Arial" w:eastAsia="Arial" w:hAnsi="Arial"/>
          <w:sz w:val="17"/>
          <w:szCs w:val="17"/>
          <w:color w:val="7D7D7D"/>
          <w:vertAlign w:val="superscript"/>
        </w:rPr>
      </w:pPr>
      <w:r>
        <w:rPr>
          <w:rFonts w:ascii="Arial" w:cs="Arial" w:eastAsia="Arial" w:hAnsi="Arial"/>
          <w:sz w:val="13"/>
          <w:szCs w:val="13"/>
          <w:color w:val="7D7D7D"/>
        </w:rPr>
        <w:t>Includes Enphase residential and commercial managed systems as of December 31, 2023, grossed up for non-managed systems based on cumulative sales records</w:t>
      </w:r>
    </w:p>
    <w:p>
      <w:pPr>
        <w:ind w:left="200" w:hanging="195"/>
        <w:spacing w:after="0"/>
        <w:tabs>
          <w:tab w:leader="none" w:pos="200" w:val="left"/>
        </w:tabs>
        <w:numPr>
          <w:ilvl w:val="0"/>
          <w:numId w:val="8"/>
        </w:numPr>
        <w:rPr>
          <w:rFonts w:ascii="Arial" w:cs="Arial" w:eastAsia="Arial" w:hAnsi="Arial"/>
          <w:sz w:val="9"/>
          <w:szCs w:val="9"/>
          <w:color w:val="7D7D7D"/>
        </w:rPr>
      </w:pPr>
      <w:r>
        <w:rPr>
          <w:rFonts w:ascii="Arial" w:cs="Arial" w:eastAsia="Arial" w:hAnsi="Arial"/>
          <w:sz w:val="14"/>
          <w:szCs w:val="14"/>
          <w:color w:val="7D7D7D"/>
        </w:rPr>
        <w:t>Please reference Appendix A for GAAP to Non-GAAP reconciliation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42"/>
          <w:szCs w:val="42"/>
          <w:b w:val="1"/>
          <w:bCs w:val="1"/>
          <w:color w:val="auto"/>
        </w:rPr>
        <w:t>Proxy Summary</w:t>
      </w:r>
    </w:p>
    <w:p>
      <w:pPr>
        <w:spacing w:after="0" w:line="3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summary highlights information that is contained elsewhere in this proxy statement. It does not include all information necessary to make a voting decision, and you should read this proxy statement in its entirety before casting your vote.</w:t>
      </w:r>
    </w:p>
    <w:p>
      <w:pPr>
        <w:spacing w:after="0" w:line="20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Board of Directors</w:t>
      </w:r>
    </w:p>
    <w:p>
      <w:pPr>
        <w:spacing w:after="0" w:line="26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Board of Directors (the “Board”) has nominated two directors to serve for three-year terms until 2027. The nominees and members have a broad and diverse set of skills and experiences that are integral to our success. We believe in a classified Board structure to promote boardroom continuity and institutional knowledge, as well as helping to drive execution of long-term strategy.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vMerge w:val="restart"/>
            <w:shd w:val="clear" w:color="auto" w:fill="3C3C3C"/>
          </w:tcPr>
          <w:p>
            <w:pPr>
              <w:ind w:left="100"/>
              <w:spacing w:after="0"/>
              <w:rPr>
                <w:sz w:val="20"/>
                <w:szCs w:val="20"/>
                <w:color w:val="auto"/>
              </w:rPr>
            </w:pPr>
            <w:r>
              <w:rPr>
                <w:rFonts w:ascii="Arial" w:cs="Arial" w:eastAsia="Arial" w:hAnsi="Arial"/>
                <w:sz w:val="14"/>
                <w:szCs w:val="14"/>
                <w:b w:val="1"/>
                <w:bCs w:val="1"/>
                <w:color w:val="FFFFFF"/>
              </w:rPr>
              <w:t>Name</w:t>
            </w:r>
          </w:p>
        </w:tc>
        <w:tc>
          <w:tcPr>
            <w:tcW w:w="780" w:type="dxa"/>
            <w:vAlign w:val="bottom"/>
            <w:vMerge w:val="restart"/>
            <w:shd w:val="clear" w:color="auto" w:fill="3C3C3C"/>
          </w:tcPr>
          <w:p>
            <w:pPr>
              <w:ind w:left="200"/>
              <w:spacing w:after="0"/>
              <w:rPr>
                <w:sz w:val="20"/>
                <w:szCs w:val="20"/>
                <w:color w:val="auto"/>
              </w:rPr>
            </w:pPr>
            <w:r>
              <w:rPr>
                <w:rFonts w:ascii="Arial" w:cs="Arial" w:eastAsia="Arial" w:hAnsi="Arial"/>
                <w:sz w:val="14"/>
                <w:szCs w:val="14"/>
                <w:b w:val="1"/>
                <w:bCs w:val="1"/>
                <w:color w:val="FFFFFF"/>
              </w:rPr>
              <w:t>Age</w:t>
            </w:r>
          </w:p>
        </w:tc>
        <w:tc>
          <w:tcPr>
            <w:tcW w:w="2720" w:type="dxa"/>
            <w:vAlign w:val="bottom"/>
            <w:vMerge w:val="restart"/>
            <w:shd w:val="clear" w:color="auto" w:fill="3C3C3C"/>
          </w:tcPr>
          <w:p>
            <w:pPr>
              <w:ind w:left="320"/>
              <w:spacing w:after="0"/>
              <w:rPr>
                <w:sz w:val="20"/>
                <w:szCs w:val="20"/>
                <w:color w:val="auto"/>
              </w:rPr>
            </w:pPr>
            <w:r>
              <w:rPr>
                <w:rFonts w:ascii="Arial" w:cs="Arial" w:eastAsia="Arial" w:hAnsi="Arial"/>
                <w:sz w:val="14"/>
                <w:szCs w:val="14"/>
                <w:b w:val="1"/>
                <w:bCs w:val="1"/>
                <w:color w:val="FFFFFF"/>
              </w:rPr>
              <w:t>Director Since   Audit Committee</w:t>
            </w:r>
          </w:p>
        </w:tc>
        <w:tc>
          <w:tcPr>
            <w:tcW w:w="1280" w:type="dxa"/>
            <w:vAlign w:val="bottom"/>
            <w:shd w:val="clear" w:color="auto" w:fill="3C3C3C"/>
          </w:tcPr>
          <w:p>
            <w:pPr>
              <w:jc w:val="center"/>
              <w:ind w:right="30"/>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Nominating</w:t>
            </w:r>
          </w:p>
        </w:tc>
        <w:tc>
          <w:tcPr>
            <w:tcW w:w="0" w:type="dxa"/>
            <w:vAlign w:val="bottom"/>
          </w:tcPr>
          <w:p>
            <w:pPr>
              <w:spacing w:after="0"/>
              <w:rPr>
                <w:sz w:val="1"/>
                <w:szCs w:val="1"/>
                <w:color w:val="auto"/>
              </w:rPr>
            </w:pPr>
          </w:p>
        </w:tc>
      </w:tr>
      <w:tr>
        <w:trPr>
          <w:trHeight w:val="101"/>
        </w:trPr>
        <w:tc>
          <w:tcPr>
            <w:tcW w:w="5240" w:type="dxa"/>
            <w:vAlign w:val="bottom"/>
            <w:vMerge w:val="continue"/>
            <w:shd w:val="clear" w:color="auto" w:fill="3C3C3C"/>
          </w:tcPr>
          <w:p>
            <w:pPr>
              <w:spacing w:after="0"/>
              <w:rPr>
                <w:sz w:val="8"/>
                <w:szCs w:val="8"/>
                <w:color w:val="auto"/>
              </w:rPr>
            </w:pPr>
          </w:p>
        </w:tc>
        <w:tc>
          <w:tcPr>
            <w:tcW w:w="780" w:type="dxa"/>
            <w:vAlign w:val="bottom"/>
            <w:vMerge w:val="continue"/>
            <w:shd w:val="clear" w:color="auto" w:fill="3C3C3C"/>
          </w:tcPr>
          <w:p>
            <w:pPr>
              <w:spacing w:after="0"/>
              <w:rPr>
                <w:sz w:val="8"/>
                <w:szCs w:val="8"/>
                <w:color w:val="auto"/>
              </w:rPr>
            </w:pPr>
          </w:p>
        </w:tc>
        <w:tc>
          <w:tcPr>
            <w:tcW w:w="2720" w:type="dxa"/>
            <w:vAlign w:val="bottom"/>
            <w:vMerge w:val="continue"/>
            <w:shd w:val="clear" w:color="auto" w:fill="3C3C3C"/>
          </w:tcPr>
          <w:p>
            <w:pPr>
              <w:spacing w:after="0"/>
              <w:rPr>
                <w:sz w:val="8"/>
                <w:szCs w:val="8"/>
                <w:color w:val="auto"/>
              </w:rPr>
            </w:pPr>
          </w:p>
        </w:tc>
        <w:tc>
          <w:tcPr>
            <w:tcW w:w="1280" w:type="dxa"/>
            <w:vAlign w:val="bottom"/>
            <w:vMerge w:val="restart"/>
            <w:shd w:val="clear" w:color="auto" w:fill="3C3C3C"/>
          </w:tcPr>
          <w:p>
            <w:pPr>
              <w:jc w:val="center"/>
              <w:ind w:right="50"/>
              <w:spacing w:after="0"/>
              <w:rPr>
                <w:sz w:val="20"/>
                <w:szCs w:val="20"/>
                <w:color w:val="auto"/>
              </w:rPr>
            </w:pPr>
            <w:r>
              <w:rPr>
                <w:rFonts w:ascii="Arial" w:cs="Arial" w:eastAsia="Arial" w:hAnsi="Arial"/>
                <w:sz w:val="14"/>
                <w:szCs w:val="14"/>
                <w:b w:val="1"/>
                <w:bCs w:val="1"/>
                <w:color w:val="FFFFFF"/>
                <w:w w:val="99"/>
              </w:rPr>
              <w:t>Committee</w:t>
            </w:r>
          </w:p>
        </w:tc>
        <w:tc>
          <w:tcPr>
            <w:tcW w:w="12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Committee</w:t>
            </w:r>
          </w:p>
        </w:tc>
        <w:tc>
          <w:tcPr>
            <w:tcW w:w="0" w:type="dxa"/>
            <w:vAlign w:val="bottom"/>
          </w:tcPr>
          <w:p>
            <w:pPr>
              <w:spacing w:after="0"/>
              <w:rPr>
                <w:sz w:val="1"/>
                <w:szCs w:val="1"/>
                <w:color w:val="auto"/>
              </w:rPr>
            </w:pPr>
          </w:p>
        </w:tc>
      </w:tr>
      <w:tr>
        <w:trPr>
          <w:trHeight w:val="105"/>
        </w:trPr>
        <w:tc>
          <w:tcPr>
            <w:tcW w:w="5240" w:type="dxa"/>
            <w:vAlign w:val="bottom"/>
            <w:shd w:val="clear" w:color="auto" w:fill="3C3C3C"/>
          </w:tcPr>
          <w:p>
            <w:pPr>
              <w:spacing w:after="0"/>
              <w:rPr>
                <w:sz w:val="9"/>
                <w:szCs w:val="9"/>
                <w:color w:val="auto"/>
              </w:rPr>
            </w:pPr>
          </w:p>
        </w:tc>
        <w:tc>
          <w:tcPr>
            <w:tcW w:w="780" w:type="dxa"/>
            <w:vAlign w:val="bottom"/>
            <w:shd w:val="clear" w:color="auto" w:fill="3C3C3C"/>
          </w:tcPr>
          <w:p>
            <w:pPr>
              <w:spacing w:after="0"/>
              <w:rPr>
                <w:sz w:val="9"/>
                <w:szCs w:val="9"/>
                <w:color w:val="auto"/>
              </w:rPr>
            </w:pPr>
          </w:p>
        </w:tc>
        <w:tc>
          <w:tcPr>
            <w:tcW w:w="2720" w:type="dxa"/>
            <w:vAlign w:val="bottom"/>
            <w:shd w:val="clear" w:color="auto" w:fill="3C3C3C"/>
          </w:tcPr>
          <w:p>
            <w:pPr>
              <w:spacing w:after="0"/>
              <w:rPr>
                <w:sz w:val="9"/>
                <w:szCs w:val="9"/>
                <w:color w:val="auto"/>
              </w:rPr>
            </w:pPr>
          </w:p>
        </w:tc>
        <w:tc>
          <w:tcPr>
            <w:tcW w:w="1280" w:type="dxa"/>
            <w:vAlign w:val="bottom"/>
            <w:vMerge w:val="continue"/>
            <w:shd w:val="clear" w:color="auto" w:fill="3C3C3C"/>
          </w:tcPr>
          <w:p>
            <w:pPr>
              <w:spacing w:after="0"/>
              <w:rPr>
                <w:sz w:val="9"/>
                <w:szCs w:val="9"/>
                <w:color w:val="auto"/>
              </w:rPr>
            </w:pPr>
          </w:p>
        </w:tc>
        <w:tc>
          <w:tcPr>
            <w:tcW w:w="1200" w:type="dxa"/>
            <w:vAlign w:val="bottom"/>
            <w:vMerge w:val="continue"/>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5240" w:type="dxa"/>
            <w:vAlign w:val="bottom"/>
            <w:shd w:val="clear" w:color="auto" w:fill="F45270"/>
          </w:tcPr>
          <w:p>
            <w:pPr>
              <w:ind w:left="100"/>
              <w:spacing w:after="0"/>
              <w:rPr>
                <w:sz w:val="20"/>
                <w:szCs w:val="20"/>
                <w:color w:val="auto"/>
              </w:rPr>
            </w:pPr>
            <w:r>
              <w:rPr>
                <w:rFonts w:ascii="Arial" w:cs="Arial" w:eastAsia="Arial" w:hAnsi="Arial"/>
                <w:sz w:val="14"/>
                <w:szCs w:val="14"/>
                <w:b w:val="1"/>
                <w:bCs w:val="1"/>
                <w:color w:val="FFFFFF"/>
              </w:rPr>
              <w:t>Class III Nominees for Election (Until 2027 Annual Meeting of Stockholder)</w:t>
            </w:r>
          </w:p>
        </w:tc>
        <w:tc>
          <w:tcPr>
            <w:tcW w:w="780" w:type="dxa"/>
            <w:vAlign w:val="bottom"/>
            <w:shd w:val="clear" w:color="auto" w:fill="F45270"/>
          </w:tcPr>
          <w:p>
            <w:pPr>
              <w:spacing w:after="0"/>
              <w:rPr>
                <w:sz w:val="19"/>
                <w:szCs w:val="19"/>
                <w:color w:val="auto"/>
              </w:rPr>
            </w:pPr>
          </w:p>
        </w:tc>
        <w:tc>
          <w:tcPr>
            <w:tcW w:w="2720" w:type="dxa"/>
            <w:vAlign w:val="bottom"/>
            <w:shd w:val="clear" w:color="auto" w:fill="F45270"/>
          </w:tcPr>
          <w:p>
            <w:pPr>
              <w:spacing w:after="0"/>
              <w:rPr>
                <w:sz w:val="19"/>
                <w:szCs w:val="19"/>
                <w:color w:val="auto"/>
              </w:rPr>
            </w:pPr>
          </w:p>
        </w:tc>
        <w:tc>
          <w:tcPr>
            <w:tcW w:w="1280" w:type="dxa"/>
            <w:vAlign w:val="bottom"/>
            <w:shd w:val="clear" w:color="auto" w:fill="F45270"/>
          </w:tcPr>
          <w:p>
            <w:pPr>
              <w:spacing w:after="0"/>
              <w:rPr>
                <w:sz w:val="19"/>
                <w:szCs w:val="19"/>
                <w:color w:val="auto"/>
              </w:rPr>
            </w:pPr>
          </w:p>
        </w:tc>
        <w:tc>
          <w:tcPr>
            <w:tcW w:w="1200" w:type="dxa"/>
            <w:vAlign w:val="bottom"/>
            <w:shd w:val="clear" w:color="auto" w:fill="F45270"/>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0</wp:posOffset>
            </wp:positionV>
            <wp:extent cx="414655" cy="530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4655" cy="53086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p>
      <w:pPr>
        <w:spacing w:after="0" w:line="234" w:lineRule="exact"/>
        <w:rPr>
          <w:sz w:val="20"/>
          <w:szCs w:val="20"/>
          <w:color w:val="auto"/>
        </w:rPr>
      </w:pPr>
    </w:p>
    <w:p>
      <w:pPr>
        <w:ind w:left="1280" w:right="760"/>
        <w:spacing w:after="0" w:line="394" w:lineRule="auto"/>
        <w:rPr>
          <w:sz w:val="20"/>
          <w:szCs w:val="20"/>
          <w:color w:val="auto"/>
        </w:rPr>
      </w:pPr>
      <w:r>
        <w:rPr>
          <w:rFonts w:ascii="Arial" w:cs="Arial" w:eastAsia="Arial" w:hAnsi="Arial"/>
          <w:sz w:val="15"/>
          <w:szCs w:val="15"/>
          <w:b w:val="1"/>
          <w:bCs w:val="1"/>
          <w:color w:val="auto"/>
        </w:rPr>
        <w:t xml:space="preserve">Badrinarayanan Kothandaraman </w:t>
      </w:r>
      <w:r>
        <w:rPr>
          <w:rFonts w:ascii="Arial" w:cs="Arial" w:eastAsia="Arial" w:hAnsi="Arial"/>
          <w:sz w:val="15"/>
          <w:szCs w:val="15"/>
          <w:color w:val="auto"/>
        </w:rPr>
        <w:t>President and CEO, Enphase Energy, Inc.</w:t>
      </w:r>
    </w:p>
    <w:p>
      <w:pPr>
        <w:spacing w:after="0" w:line="322"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Joseph Malchow</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Founding Partner, HNVR Technology Investment</w:t>
      </w:r>
    </w:p>
    <w:p>
      <w:pPr>
        <w:spacing w:after="0" w:line="1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Management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Continuing Class I Directors (Until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27940</wp:posOffset>
            </wp:positionV>
            <wp:extent cx="414655" cy="530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4655" cy="530860"/>
                    </a:xfrm>
                    <a:prstGeom prst="rect">
                      <a:avLst/>
                    </a:prstGeom>
                    <a:noFill/>
                  </pic:spPr>
                </pic:pic>
              </a:graphicData>
            </a:graphic>
          </wp:anchor>
        </w:drawing>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Steven J. Gomo</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Former CFO, NetApp, Inc.</w:t>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-107315</wp:posOffset>
            </wp:positionV>
            <wp:extent cx="199390" cy="116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9390" cy="116205"/>
                    </a:xfrm>
                    <a:prstGeom prst="rect">
                      <a:avLst/>
                    </a:prstGeom>
                    <a:noFill/>
                  </pic:spPr>
                </pic:pic>
              </a:graphicData>
            </a:graphic>
          </wp:anchor>
        </w:drawing>
      </w:r>
    </w:p>
    <w:p>
      <w:pPr>
        <w:spacing w:after="0" w:line="293"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Thurman John Rodgers</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Founder and former CEO, Cypress Semiconductor</w:t>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IND</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Continuing Class II Directors (Until 2026 Annual Meeting of Stockholders)</w:t>
      </w:r>
    </w:p>
    <w:p>
      <w:pPr>
        <w:spacing w:after="0" w:line="68"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Jamie Haenggi</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President, ADT Solar (formerly COO); former CCO</w:t>
      </w:r>
    </w:p>
    <w:p>
      <w:pPr>
        <w:spacing w:after="0" w:line="1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ADT Security Services</w:t>
      </w:r>
    </w:p>
    <w:p>
      <w:pPr>
        <w:spacing w:after="0" w:line="48"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IND</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Benjamin Kortlang</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Partner, G2VP, LLC; former Partner, Kleiner Perkins</w:t>
      </w:r>
    </w:p>
    <w:p>
      <w:pPr>
        <w:spacing w:after="0" w:line="24"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Caufield &amp; Byers</w:t>
      </w:r>
    </w:p>
    <w:p>
      <w:pPr>
        <w:spacing w:after="0" w:line="48"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IND</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Richard Mora</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Former CEO, Landis+Gyr</w:t>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IND</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60" w:type="dxa"/>
            <w:vAlign w:val="bottom"/>
          </w:tcPr>
          <w:p>
            <w:pPr>
              <w:jc w:val="right"/>
              <w:ind w:right="422"/>
              <w:spacing w:after="0"/>
              <w:rPr>
                <w:sz w:val="20"/>
                <w:szCs w:val="20"/>
                <w:color w:val="auto"/>
              </w:rPr>
            </w:pPr>
            <w:r>
              <w:rPr>
                <w:rFonts w:ascii="Arial" w:cs="Arial" w:eastAsia="Arial" w:hAnsi="Arial"/>
                <w:sz w:val="16"/>
                <w:szCs w:val="16"/>
                <w:color w:val="auto"/>
                <w:w w:val="78"/>
              </w:rPr>
              <w:t>52</w:t>
            </w:r>
          </w:p>
        </w:tc>
        <w:tc>
          <w:tcPr>
            <w:tcW w:w="1320" w:type="dxa"/>
            <w:vAlign w:val="bottom"/>
          </w:tcPr>
          <w:p>
            <w:pPr>
              <w:jc w:val="right"/>
              <w:ind w:right="402"/>
              <w:spacing w:after="0"/>
              <w:rPr>
                <w:sz w:val="20"/>
                <w:szCs w:val="20"/>
                <w:color w:val="auto"/>
              </w:rPr>
            </w:pPr>
            <w:r>
              <w:rPr>
                <w:rFonts w:ascii="Arial" w:cs="Arial" w:eastAsia="Arial" w:hAnsi="Arial"/>
                <w:sz w:val="16"/>
                <w:szCs w:val="16"/>
                <w:color w:val="auto"/>
              </w:rPr>
              <w:t>2017</w:t>
            </w: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980"/>
        </w:trPr>
        <w:tc>
          <w:tcPr>
            <w:tcW w:w="660" w:type="dxa"/>
            <w:vAlign w:val="bottom"/>
          </w:tcPr>
          <w:p>
            <w:pPr>
              <w:jc w:val="right"/>
              <w:ind w:right="422"/>
              <w:spacing w:after="0"/>
              <w:rPr>
                <w:sz w:val="20"/>
                <w:szCs w:val="20"/>
                <w:color w:val="auto"/>
              </w:rPr>
            </w:pPr>
            <w:r>
              <w:rPr>
                <w:rFonts w:ascii="Arial" w:cs="Arial" w:eastAsia="Arial" w:hAnsi="Arial"/>
                <w:sz w:val="16"/>
                <w:szCs w:val="16"/>
                <w:color w:val="auto"/>
                <w:w w:val="78"/>
              </w:rPr>
              <w:t>38</w:t>
            </w:r>
          </w:p>
        </w:tc>
        <w:tc>
          <w:tcPr>
            <w:tcW w:w="1320" w:type="dxa"/>
            <w:vAlign w:val="bottom"/>
          </w:tcPr>
          <w:p>
            <w:pPr>
              <w:jc w:val="right"/>
              <w:ind w:right="402"/>
              <w:spacing w:after="0"/>
              <w:rPr>
                <w:sz w:val="20"/>
                <w:szCs w:val="20"/>
                <w:color w:val="auto"/>
              </w:rPr>
            </w:pPr>
            <w:r>
              <w:rPr>
                <w:rFonts w:ascii="Arial" w:cs="Arial" w:eastAsia="Arial" w:hAnsi="Arial"/>
                <w:sz w:val="16"/>
                <w:szCs w:val="16"/>
                <w:color w:val="auto"/>
              </w:rPr>
              <w:t>2020</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28"/>
        </w:trPr>
        <w:tc>
          <w:tcPr>
            <w:tcW w:w="660" w:type="dxa"/>
            <w:vAlign w:val="bottom"/>
          </w:tcPr>
          <w:p>
            <w:pPr>
              <w:jc w:val="right"/>
              <w:ind w:right="422"/>
              <w:spacing w:after="0"/>
              <w:rPr>
                <w:sz w:val="20"/>
                <w:szCs w:val="20"/>
                <w:color w:val="auto"/>
              </w:rPr>
            </w:pPr>
            <w:r>
              <w:rPr>
                <w:rFonts w:ascii="Arial" w:cs="Arial" w:eastAsia="Arial" w:hAnsi="Arial"/>
                <w:sz w:val="16"/>
                <w:szCs w:val="16"/>
                <w:color w:val="auto"/>
                <w:w w:val="78"/>
              </w:rPr>
              <w:t>72</w:t>
            </w:r>
          </w:p>
        </w:tc>
        <w:tc>
          <w:tcPr>
            <w:tcW w:w="1320" w:type="dxa"/>
            <w:vAlign w:val="bottom"/>
          </w:tcPr>
          <w:p>
            <w:pPr>
              <w:jc w:val="right"/>
              <w:ind w:right="422"/>
              <w:spacing w:after="0"/>
              <w:rPr>
                <w:sz w:val="20"/>
                <w:szCs w:val="20"/>
                <w:color w:val="auto"/>
              </w:rPr>
            </w:pPr>
            <w:r>
              <w:rPr>
                <w:rFonts w:ascii="Arial" w:cs="Arial" w:eastAsia="Arial" w:hAnsi="Arial"/>
                <w:sz w:val="16"/>
                <w:szCs w:val="16"/>
                <w:color w:val="auto"/>
              </w:rPr>
              <w:t>2011</w:t>
            </w:r>
          </w:p>
        </w:tc>
        <w:tc>
          <w:tcPr>
            <w:tcW w:w="1220" w:type="dxa"/>
            <w:vAlign w:val="bottom"/>
          </w:tcPr>
          <w:p>
            <w:pPr>
              <w:ind w:left="500"/>
              <w:spacing w:after="0"/>
              <w:rPr>
                <w:sz w:val="20"/>
                <w:szCs w:val="20"/>
                <w:color w:val="auto"/>
              </w:rPr>
            </w:pPr>
            <w:r>
              <w:rPr>
                <w:rFonts w:ascii="Wingdings" w:cs="Wingdings" w:eastAsia="Wingdings" w:hAnsi="Wingdings"/>
                <w:sz w:val="24"/>
                <w:szCs w:val="24"/>
                <w:b w:val="1"/>
                <w:bCs w:val="1"/>
                <w:color w:val="3B999E"/>
              </w:rPr>
              <w:t>l</w:t>
            </w: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980"/>
        </w:trPr>
        <w:tc>
          <w:tcPr>
            <w:tcW w:w="660" w:type="dxa"/>
            <w:vAlign w:val="bottom"/>
          </w:tcPr>
          <w:p>
            <w:pPr>
              <w:jc w:val="right"/>
              <w:ind w:right="422"/>
              <w:spacing w:after="0"/>
              <w:rPr>
                <w:sz w:val="20"/>
                <w:szCs w:val="20"/>
                <w:color w:val="auto"/>
              </w:rPr>
            </w:pPr>
            <w:r>
              <w:rPr>
                <w:rFonts w:ascii="Arial" w:cs="Arial" w:eastAsia="Arial" w:hAnsi="Arial"/>
                <w:sz w:val="16"/>
                <w:szCs w:val="16"/>
                <w:color w:val="auto"/>
                <w:w w:val="78"/>
              </w:rPr>
              <w:t>76</w:t>
            </w:r>
          </w:p>
        </w:tc>
        <w:tc>
          <w:tcPr>
            <w:tcW w:w="1320" w:type="dxa"/>
            <w:vAlign w:val="bottom"/>
          </w:tcPr>
          <w:p>
            <w:pPr>
              <w:jc w:val="right"/>
              <w:ind w:right="402"/>
              <w:spacing w:after="0"/>
              <w:rPr>
                <w:sz w:val="20"/>
                <w:szCs w:val="20"/>
                <w:color w:val="auto"/>
              </w:rPr>
            </w:pPr>
            <w:r>
              <w:rPr>
                <w:rFonts w:ascii="Arial" w:cs="Arial" w:eastAsia="Arial" w:hAnsi="Arial"/>
                <w:sz w:val="16"/>
                <w:szCs w:val="16"/>
                <w:color w:val="auto"/>
              </w:rPr>
              <w:t>2017</w:t>
            </w:r>
          </w:p>
        </w:tc>
        <w:tc>
          <w:tcPr>
            <w:tcW w:w="1220" w:type="dxa"/>
            <w:vAlign w:val="bottom"/>
          </w:tcPr>
          <w:p>
            <w:pPr>
              <w:spacing w:after="0"/>
              <w:rPr>
                <w:sz w:val="24"/>
                <w:szCs w:val="24"/>
                <w:color w:val="auto"/>
              </w:rPr>
            </w:pPr>
          </w:p>
        </w:tc>
        <w:tc>
          <w:tcPr>
            <w:tcW w:w="1260" w:type="dxa"/>
            <w:vAlign w:val="bottom"/>
          </w:tcPr>
          <w:p>
            <w:pPr>
              <w:ind w:left="540"/>
              <w:spacing w:after="0"/>
              <w:rPr>
                <w:sz w:val="20"/>
                <w:szCs w:val="20"/>
                <w:color w:val="auto"/>
              </w:rPr>
            </w:pPr>
            <w:r>
              <w:rPr>
                <w:rFonts w:ascii="Wingdings" w:cs="Wingdings" w:eastAsia="Wingdings" w:hAnsi="Wingdings"/>
                <w:sz w:val="24"/>
                <w:szCs w:val="24"/>
                <w:b w:val="1"/>
                <w:bCs w:val="1"/>
                <w:color w:val="3B999E"/>
              </w:rPr>
              <w:t>l</w:t>
            </w:r>
          </w:p>
        </w:tc>
        <w:tc>
          <w:tcPr>
            <w:tcW w:w="720" w:type="dxa"/>
            <w:vAlign w:val="bottom"/>
          </w:tcPr>
          <w:p>
            <w:pPr>
              <w:ind w:left="540"/>
              <w:spacing w:after="0"/>
              <w:rPr>
                <w:sz w:val="20"/>
                <w:szCs w:val="20"/>
                <w:color w:val="auto"/>
              </w:rPr>
            </w:pPr>
            <w:r>
              <w:rPr>
                <w:rFonts w:ascii="Wingdings" w:cs="Wingdings" w:eastAsia="Wingdings" w:hAnsi="Wingdings"/>
                <w:sz w:val="24"/>
                <w:szCs w:val="24"/>
                <w:b w:val="1"/>
                <w:bCs w:val="1"/>
                <w:color w:val="E86100"/>
                <w:w w:val="88"/>
              </w:rPr>
              <w:t>l</w:t>
            </w:r>
          </w:p>
        </w:tc>
      </w:tr>
      <w:tr>
        <w:trPr>
          <w:trHeight w:val="1202"/>
        </w:trPr>
        <w:tc>
          <w:tcPr>
            <w:tcW w:w="660" w:type="dxa"/>
            <w:vAlign w:val="bottom"/>
          </w:tcPr>
          <w:p>
            <w:pPr>
              <w:jc w:val="right"/>
              <w:ind w:right="422"/>
              <w:spacing w:after="0"/>
              <w:rPr>
                <w:sz w:val="20"/>
                <w:szCs w:val="20"/>
                <w:color w:val="auto"/>
              </w:rPr>
            </w:pPr>
            <w:r>
              <w:rPr>
                <w:rFonts w:ascii="Arial" w:cs="Arial" w:eastAsia="Arial" w:hAnsi="Arial"/>
                <w:sz w:val="16"/>
                <w:szCs w:val="16"/>
                <w:color w:val="auto"/>
                <w:w w:val="78"/>
              </w:rPr>
              <w:t>54</w:t>
            </w:r>
          </w:p>
        </w:tc>
        <w:tc>
          <w:tcPr>
            <w:tcW w:w="1320" w:type="dxa"/>
            <w:vAlign w:val="bottom"/>
          </w:tcPr>
          <w:p>
            <w:pPr>
              <w:jc w:val="right"/>
              <w:ind w:right="402"/>
              <w:spacing w:after="0"/>
              <w:rPr>
                <w:sz w:val="20"/>
                <w:szCs w:val="20"/>
                <w:color w:val="auto"/>
              </w:rPr>
            </w:pPr>
            <w:r>
              <w:rPr>
                <w:rFonts w:ascii="Arial" w:cs="Arial" w:eastAsia="Arial" w:hAnsi="Arial"/>
                <w:sz w:val="16"/>
                <w:szCs w:val="16"/>
                <w:color w:val="auto"/>
              </w:rPr>
              <w:t>2020</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Wingdings" w:cs="Wingdings" w:eastAsia="Wingdings" w:hAnsi="Wingdings"/>
                <w:sz w:val="24"/>
                <w:szCs w:val="24"/>
                <w:b w:val="1"/>
                <w:bCs w:val="1"/>
                <w:color w:val="E86100"/>
                <w:w w:val="88"/>
              </w:rPr>
              <w:t>l</w:t>
            </w:r>
          </w:p>
        </w:tc>
      </w:tr>
      <w:tr>
        <w:trPr>
          <w:trHeight w:val="980"/>
        </w:trPr>
        <w:tc>
          <w:tcPr>
            <w:tcW w:w="660" w:type="dxa"/>
            <w:vAlign w:val="bottom"/>
          </w:tcPr>
          <w:p>
            <w:pPr>
              <w:jc w:val="right"/>
              <w:ind w:right="422"/>
              <w:spacing w:after="0"/>
              <w:rPr>
                <w:sz w:val="20"/>
                <w:szCs w:val="20"/>
                <w:color w:val="auto"/>
              </w:rPr>
            </w:pPr>
            <w:r>
              <w:rPr>
                <w:rFonts w:ascii="Arial" w:cs="Arial" w:eastAsia="Arial" w:hAnsi="Arial"/>
                <w:sz w:val="16"/>
                <w:szCs w:val="16"/>
                <w:color w:val="auto"/>
                <w:w w:val="78"/>
              </w:rPr>
              <w:t>48</w:t>
            </w:r>
          </w:p>
        </w:tc>
        <w:tc>
          <w:tcPr>
            <w:tcW w:w="1320" w:type="dxa"/>
            <w:vAlign w:val="bottom"/>
          </w:tcPr>
          <w:p>
            <w:pPr>
              <w:jc w:val="right"/>
              <w:ind w:right="402"/>
              <w:spacing w:after="0"/>
              <w:rPr>
                <w:sz w:val="20"/>
                <w:szCs w:val="20"/>
                <w:color w:val="auto"/>
              </w:rPr>
            </w:pPr>
            <w:r>
              <w:rPr>
                <w:rFonts w:ascii="Arial" w:cs="Arial" w:eastAsia="Arial" w:hAnsi="Arial"/>
                <w:sz w:val="16"/>
                <w:szCs w:val="16"/>
                <w:color w:val="auto"/>
              </w:rPr>
              <w:t>2010</w:t>
            </w:r>
          </w:p>
        </w:tc>
        <w:tc>
          <w:tcPr>
            <w:tcW w:w="1220" w:type="dxa"/>
            <w:vAlign w:val="bottom"/>
          </w:tcPr>
          <w:p>
            <w:pPr>
              <w:ind w:left="500"/>
              <w:spacing w:after="0"/>
              <w:rPr>
                <w:sz w:val="20"/>
                <w:szCs w:val="20"/>
                <w:color w:val="auto"/>
              </w:rPr>
            </w:pPr>
            <w:r>
              <w:rPr>
                <w:rFonts w:ascii="Wingdings" w:cs="Wingdings" w:eastAsia="Wingdings" w:hAnsi="Wingdings"/>
                <w:sz w:val="24"/>
                <w:szCs w:val="24"/>
                <w:b w:val="1"/>
                <w:bCs w:val="1"/>
                <w:color w:val="E86100"/>
              </w:rPr>
              <w:t>l</w:t>
            </w:r>
          </w:p>
        </w:tc>
        <w:tc>
          <w:tcPr>
            <w:tcW w:w="126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Wingdings" w:cs="Wingdings" w:eastAsia="Wingdings" w:hAnsi="Wingdings"/>
                <w:sz w:val="24"/>
                <w:szCs w:val="24"/>
                <w:b w:val="1"/>
                <w:bCs w:val="1"/>
                <w:color w:val="3B999E"/>
                <w:w w:val="88"/>
              </w:rPr>
              <w:t>l</w:t>
            </w:r>
          </w:p>
        </w:tc>
      </w:tr>
      <w:tr>
        <w:trPr>
          <w:trHeight w:val="980"/>
        </w:trPr>
        <w:tc>
          <w:tcPr>
            <w:tcW w:w="660" w:type="dxa"/>
            <w:vAlign w:val="bottom"/>
          </w:tcPr>
          <w:p>
            <w:pPr>
              <w:jc w:val="right"/>
              <w:ind w:right="422"/>
              <w:spacing w:after="0"/>
              <w:rPr>
                <w:sz w:val="20"/>
                <w:szCs w:val="20"/>
                <w:color w:val="auto"/>
              </w:rPr>
            </w:pPr>
            <w:r>
              <w:rPr>
                <w:rFonts w:ascii="Arial" w:cs="Arial" w:eastAsia="Arial" w:hAnsi="Arial"/>
                <w:sz w:val="16"/>
                <w:szCs w:val="16"/>
                <w:color w:val="auto"/>
                <w:w w:val="78"/>
              </w:rPr>
              <w:t>59</w:t>
            </w:r>
          </w:p>
        </w:tc>
        <w:tc>
          <w:tcPr>
            <w:tcW w:w="1320" w:type="dxa"/>
            <w:vAlign w:val="bottom"/>
          </w:tcPr>
          <w:p>
            <w:pPr>
              <w:jc w:val="right"/>
              <w:ind w:right="402"/>
              <w:spacing w:after="0"/>
              <w:rPr>
                <w:sz w:val="20"/>
                <w:szCs w:val="20"/>
                <w:color w:val="auto"/>
              </w:rPr>
            </w:pPr>
            <w:r>
              <w:rPr>
                <w:rFonts w:ascii="Arial" w:cs="Arial" w:eastAsia="Arial" w:hAnsi="Arial"/>
                <w:sz w:val="16"/>
                <w:szCs w:val="16"/>
                <w:color w:val="auto"/>
              </w:rPr>
              <w:t>2014</w:t>
            </w:r>
          </w:p>
        </w:tc>
        <w:tc>
          <w:tcPr>
            <w:tcW w:w="1220" w:type="dxa"/>
            <w:vAlign w:val="bottom"/>
          </w:tcPr>
          <w:p>
            <w:pPr>
              <w:ind w:left="500"/>
              <w:spacing w:after="0"/>
              <w:rPr>
                <w:sz w:val="20"/>
                <w:szCs w:val="20"/>
                <w:color w:val="auto"/>
              </w:rPr>
            </w:pPr>
            <w:r>
              <w:rPr>
                <w:rFonts w:ascii="Wingdings" w:cs="Wingdings" w:eastAsia="Wingdings" w:hAnsi="Wingdings"/>
                <w:sz w:val="24"/>
                <w:szCs w:val="24"/>
                <w:b w:val="1"/>
                <w:bCs w:val="1"/>
                <w:color w:val="E86100"/>
              </w:rPr>
              <w:t>l</w:t>
            </w:r>
          </w:p>
        </w:tc>
        <w:tc>
          <w:tcPr>
            <w:tcW w:w="1260" w:type="dxa"/>
            <w:vAlign w:val="bottom"/>
          </w:tcPr>
          <w:p>
            <w:pPr>
              <w:ind w:left="540"/>
              <w:spacing w:after="0"/>
              <w:rPr>
                <w:sz w:val="20"/>
                <w:szCs w:val="20"/>
                <w:color w:val="auto"/>
              </w:rPr>
            </w:pPr>
            <w:r>
              <w:rPr>
                <w:rFonts w:ascii="Wingdings" w:cs="Wingdings" w:eastAsia="Wingdings" w:hAnsi="Wingdings"/>
                <w:sz w:val="24"/>
                <w:szCs w:val="24"/>
                <w:b w:val="1"/>
                <w:bCs w:val="1"/>
                <w:color w:val="E86100"/>
              </w:rPr>
              <w:t>l</w:t>
            </w: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-3782060</wp:posOffset>
            </wp:positionV>
            <wp:extent cx="7120255" cy="763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0255" cy="76327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-2396490</wp:posOffset>
            </wp:positionV>
            <wp:extent cx="7120255" cy="2630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0255" cy="2630805"/>
                    </a:xfrm>
                    <a:prstGeom prst="rect">
                      <a:avLst/>
                    </a:prstGeom>
                    <a:noFill/>
                  </pic:spPr>
                </pic:pic>
              </a:graphicData>
            </a:graphic>
          </wp:anchor>
        </w:drawing>
      </w:r>
    </w:p>
    <w:p>
      <w:pPr>
        <w:spacing w:after="0" w:line="382" w:lineRule="exact"/>
        <w:rPr>
          <w:sz w:val="20"/>
          <w:szCs w:val="20"/>
          <w:color w:val="auto"/>
        </w:rPr>
      </w:pPr>
    </w:p>
    <w:p>
      <w:pPr>
        <w:ind w:left="720"/>
        <w:spacing w:after="0"/>
        <w:rPr>
          <w:sz w:val="20"/>
          <w:szCs w:val="20"/>
          <w:color w:val="auto"/>
        </w:rPr>
      </w:pPr>
      <w:r>
        <w:rPr>
          <w:rFonts w:ascii="Wingdings" w:cs="Wingdings" w:eastAsia="Wingdings" w:hAnsi="Wingdings"/>
          <w:sz w:val="21"/>
          <w:szCs w:val="21"/>
          <w:b w:val="1"/>
          <w:bCs w:val="1"/>
          <w:color w:val="E86100"/>
        </w:rPr>
        <w:t xml:space="preserve">l </w:t>
      </w:r>
      <w:r>
        <w:rPr>
          <w:rFonts w:ascii="Arial" w:cs="Arial" w:eastAsia="Arial" w:hAnsi="Arial"/>
          <w:sz w:val="15"/>
          <w:szCs w:val="15"/>
          <w:color w:val="000000"/>
        </w:rPr>
        <w:t>Member</w:t>
      </w:r>
      <w:r>
        <w:rPr>
          <w:rFonts w:ascii="Wingdings" w:cs="Wingdings" w:eastAsia="Wingdings" w:hAnsi="Wingdings"/>
          <w:sz w:val="21"/>
          <w:szCs w:val="21"/>
          <w:b w:val="1"/>
          <w:bCs w:val="1"/>
          <w:color w:val="E86100"/>
        </w:rPr>
        <w:t xml:space="preserve"> </w:t>
      </w:r>
      <w:r>
        <w:rPr>
          <w:rFonts w:ascii="Wingdings" w:cs="Wingdings" w:eastAsia="Wingdings" w:hAnsi="Wingdings"/>
          <w:sz w:val="21"/>
          <w:szCs w:val="21"/>
          <w:b w:val="1"/>
          <w:bCs w:val="1"/>
          <w:color w:val="3B999E"/>
        </w:rPr>
        <w:t>l</w:t>
      </w:r>
      <w:r>
        <w:rPr>
          <w:rFonts w:ascii="Wingdings" w:cs="Wingdings" w:eastAsia="Wingdings" w:hAnsi="Wingdings"/>
          <w:sz w:val="21"/>
          <w:szCs w:val="21"/>
          <w:b w:val="1"/>
          <w:bCs w:val="1"/>
          <w:color w:val="E86100"/>
        </w:rPr>
        <w:t xml:space="preserve"> </w:t>
      </w:r>
      <w:r>
        <w:rPr>
          <w:rFonts w:ascii="Arial" w:cs="Arial" w:eastAsia="Arial" w:hAnsi="Arial"/>
          <w:sz w:val="15"/>
          <w:szCs w:val="15"/>
          <w:color w:val="000000"/>
        </w:rPr>
        <w:t>Chair</w:t>
      </w:r>
      <w:r>
        <w:rPr>
          <w:rFonts w:ascii="Wingdings" w:cs="Wingdings" w:eastAsia="Wingdings" w:hAnsi="Wingdings"/>
          <w:sz w:val="21"/>
          <w:szCs w:val="21"/>
          <w:b w:val="1"/>
          <w:bCs w:val="1"/>
          <w:color w:val="E86100"/>
        </w:rPr>
        <w:t xml:space="preserve"> </w:t>
      </w:r>
      <w:r>
        <w:rPr>
          <w:rFonts w:ascii="Arial" w:cs="Arial" w:eastAsia="Arial" w:hAnsi="Arial"/>
          <w:sz w:val="12"/>
          <w:szCs w:val="12"/>
          <w:b w:val="1"/>
          <w:bCs w:val="1"/>
          <w:color w:val="000000"/>
          <w:shd w:val="clear" w:color="auto" w:fill="FFD02C"/>
        </w:rPr>
        <w:t>IND</w:t>
      </w:r>
      <w:r>
        <w:rPr>
          <w:rFonts w:ascii="Wingdings" w:cs="Wingdings" w:eastAsia="Wingdings" w:hAnsi="Wingdings"/>
          <w:sz w:val="21"/>
          <w:szCs w:val="21"/>
          <w:b w:val="1"/>
          <w:bCs w:val="1"/>
          <w:color w:val="E86100"/>
        </w:rPr>
        <w:t xml:space="preserve"> </w:t>
      </w:r>
      <w:r>
        <w:rPr>
          <w:rFonts w:ascii="Arial" w:cs="Arial" w:eastAsia="Arial" w:hAnsi="Arial"/>
          <w:sz w:val="15"/>
          <w:szCs w:val="15"/>
          <w:color w:val="000000"/>
        </w:rPr>
        <w:t>Independent</w:t>
      </w:r>
    </w:p>
    <w:p>
      <w:pPr>
        <w:spacing w:after="0" w:line="200" w:lineRule="exact"/>
        <w:rPr>
          <w:sz w:val="20"/>
          <w:szCs w:val="20"/>
          <w:color w:val="auto"/>
        </w:rPr>
      </w:pPr>
    </w:p>
    <w:p>
      <w:pPr>
        <w:sectPr>
          <w:pgSz w:w="11900" w:h="16838" w:orient="portrait"/>
          <w:cols w:equalWidth="0" w:num="2">
            <w:col w:w="4960" w:space="540"/>
            <w:col w:w="5740"/>
          </w:cols>
          <w:pgMar w:left="320" w:top="7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1"/>
          <w:szCs w:val="21"/>
          <w:b w:val="1"/>
          <w:bCs w:val="1"/>
          <w:color w:val="auto"/>
        </w:rPr>
        <w:t>Board of Directors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79375</wp:posOffset>
            </wp:positionV>
            <wp:extent cx="5759450" cy="420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9450"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Experience/Skills/Qualifications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79375</wp:posOffset>
            </wp:positionV>
            <wp:extent cx="3319145" cy="2489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19145" cy="2489835"/>
                    </a:xfrm>
                    <a:prstGeom prst="rect">
                      <a:avLst/>
                    </a:prstGeom>
                    <a:noFill/>
                  </pic:spPr>
                </pic:pic>
              </a:graphicData>
            </a:graphic>
          </wp:anchor>
        </w:drawing>
      </w:r>
    </w:p>
    <w:p>
      <w:pPr>
        <w:spacing w:after="0" w:line="170" w:lineRule="exact"/>
        <w:rPr>
          <w:sz w:val="20"/>
          <w:szCs w:val="20"/>
          <w:color w:val="auto"/>
        </w:rPr>
      </w:pPr>
    </w:p>
    <w:tbl>
      <w:tblPr>
        <w:tblLayout w:type="fixed"/>
        <w:tblInd w:w="1100" w:type="dxa"/>
        <w:tblCellMar>
          <w:top w:w="0" w:type="dxa"/>
          <w:left w:w="0" w:type="dxa"/>
          <w:bottom w:w="0" w:type="dxa"/>
          <w:right w:w="0" w:type="dxa"/>
        </w:tblCellMar>
      </w:tblPr>
      <w:tr>
        <w:trPr>
          <w:trHeight w:val="287"/>
        </w:trPr>
        <w:tc>
          <w:tcPr>
            <w:tcW w:w="5040" w:type="dxa"/>
            <w:vAlign w:val="bottom"/>
          </w:tcPr>
          <w:p>
            <w:pPr>
              <w:spacing w:after="0"/>
              <w:rPr>
                <w:sz w:val="20"/>
                <w:szCs w:val="20"/>
                <w:color w:val="auto"/>
              </w:rPr>
            </w:pPr>
            <w:r>
              <w:rPr>
                <w:rFonts w:ascii="Arial" w:cs="Arial" w:eastAsia="Arial" w:hAnsi="Arial"/>
                <w:sz w:val="16"/>
                <w:szCs w:val="16"/>
                <w:b w:val="1"/>
                <w:bCs w:val="1"/>
                <w:color w:val="auto"/>
              </w:rPr>
              <w:t>Senior Leadership</w:t>
            </w:r>
          </w:p>
        </w:tc>
        <w:tc>
          <w:tcPr>
            <w:tcW w:w="3100" w:type="dxa"/>
            <w:vAlign w:val="bottom"/>
          </w:tcPr>
          <w:p>
            <w:pPr>
              <w:jc w:val="right"/>
              <w:spacing w:after="0"/>
              <w:rPr>
                <w:sz w:val="20"/>
                <w:szCs w:val="20"/>
                <w:color w:val="auto"/>
              </w:rPr>
            </w:pPr>
            <w:r>
              <w:rPr>
                <w:rFonts w:ascii="Arial" w:cs="Arial" w:eastAsia="Arial" w:hAnsi="Arial"/>
                <w:sz w:val="21"/>
                <w:szCs w:val="21"/>
                <w:b w:val="1"/>
                <w:bCs w:val="1"/>
                <w:color w:val="439E58"/>
              </w:rPr>
              <w:t>7/7</w:t>
            </w:r>
          </w:p>
        </w:tc>
      </w:tr>
      <w:tr>
        <w:trPr>
          <w:trHeight w:val="353"/>
        </w:trPr>
        <w:tc>
          <w:tcPr>
            <w:tcW w:w="5040" w:type="dxa"/>
            <w:vAlign w:val="bottom"/>
          </w:tcPr>
          <w:p>
            <w:pPr>
              <w:spacing w:after="0"/>
              <w:rPr>
                <w:sz w:val="20"/>
                <w:szCs w:val="20"/>
                <w:color w:val="auto"/>
              </w:rPr>
            </w:pPr>
            <w:r>
              <w:rPr>
                <w:rFonts w:ascii="Arial" w:cs="Arial" w:eastAsia="Arial" w:hAnsi="Arial"/>
                <w:sz w:val="16"/>
                <w:szCs w:val="16"/>
                <w:b w:val="1"/>
                <w:bCs w:val="1"/>
                <w:color w:val="auto"/>
              </w:rPr>
              <w:t>Corporate Governance</w:t>
            </w:r>
          </w:p>
        </w:tc>
        <w:tc>
          <w:tcPr>
            <w:tcW w:w="3100" w:type="dxa"/>
            <w:vAlign w:val="bottom"/>
          </w:tcPr>
          <w:p>
            <w:pPr>
              <w:jc w:val="right"/>
              <w:spacing w:after="0"/>
              <w:rPr>
                <w:sz w:val="20"/>
                <w:szCs w:val="20"/>
                <w:color w:val="auto"/>
              </w:rPr>
            </w:pPr>
            <w:r>
              <w:rPr>
                <w:rFonts w:ascii="Arial" w:cs="Arial" w:eastAsia="Arial" w:hAnsi="Arial"/>
                <w:sz w:val="21"/>
                <w:szCs w:val="21"/>
                <w:b w:val="1"/>
                <w:bCs w:val="1"/>
                <w:color w:val="439E58"/>
              </w:rPr>
              <w:t>7/7</w:t>
            </w:r>
          </w:p>
        </w:tc>
      </w:tr>
      <w:tr>
        <w:trPr>
          <w:trHeight w:val="353"/>
        </w:trPr>
        <w:tc>
          <w:tcPr>
            <w:tcW w:w="5040" w:type="dxa"/>
            <w:vAlign w:val="bottom"/>
          </w:tcPr>
          <w:p>
            <w:pPr>
              <w:spacing w:after="0"/>
              <w:rPr>
                <w:sz w:val="20"/>
                <w:szCs w:val="20"/>
                <w:color w:val="auto"/>
              </w:rPr>
            </w:pPr>
            <w:r>
              <w:rPr>
                <w:rFonts w:ascii="Arial" w:cs="Arial" w:eastAsia="Arial" w:hAnsi="Arial"/>
                <w:sz w:val="16"/>
                <w:szCs w:val="16"/>
                <w:b w:val="1"/>
                <w:bCs w:val="1"/>
                <w:color w:val="auto"/>
              </w:rPr>
              <w:t>Risk Management</w:t>
            </w:r>
          </w:p>
        </w:tc>
        <w:tc>
          <w:tcPr>
            <w:tcW w:w="3100" w:type="dxa"/>
            <w:vAlign w:val="bottom"/>
          </w:tcPr>
          <w:p>
            <w:pPr>
              <w:jc w:val="right"/>
              <w:spacing w:after="0"/>
              <w:rPr>
                <w:sz w:val="20"/>
                <w:szCs w:val="20"/>
                <w:color w:val="auto"/>
              </w:rPr>
            </w:pPr>
            <w:r>
              <w:rPr>
                <w:rFonts w:ascii="Arial" w:cs="Arial" w:eastAsia="Arial" w:hAnsi="Arial"/>
                <w:sz w:val="21"/>
                <w:szCs w:val="21"/>
                <w:b w:val="1"/>
                <w:bCs w:val="1"/>
                <w:color w:val="439E58"/>
              </w:rPr>
              <w:t>7/7</w:t>
            </w:r>
          </w:p>
        </w:tc>
      </w:tr>
      <w:tr>
        <w:trPr>
          <w:trHeight w:val="353"/>
        </w:trPr>
        <w:tc>
          <w:tcPr>
            <w:tcW w:w="5040" w:type="dxa"/>
            <w:vAlign w:val="bottom"/>
          </w:tcPr>
          <w:p>
            <w:pPr>
              <w:spacing w:after="0"/>
              <w:rPr>
                <w:sz w:val="20"/>
                <w:szCs w:val="20"/>
                <w:color w:val="auto"/>
              </w:rPr>
            </w:pPr>
            <w:r>
              <w:rPr>
                <w:rFonts w:ascii="Arial" w:cs="Arial" w:eastAsia="Arial" w:hAnsi="Arial"/>
                <w:sz w:val="16"/>
                <w:szCs w:val="16"/>
                <w:b w:val="1"/>
                <w:bCs w:val="1"/>
                <w:color w:val="auto"/>
              </w:rPr>
              <w:t>Financial</w:t>
            </w:r>
          </w:p>
        </w:tc>
        <w:tc>
          <w:tcPr>
            <w:tcW w:w="3100" w:type="dxa"/>
            <w:vAlign w:val="bottom"/>
          </w:tcPr>
          <w:p>
            <w:pPr>
              <w:jc w:val="right"/>
              <w:spacing w:after="0"/>
              <w:rPr>
                <w:sz w:val="20"/>
                <w:szCs w:val="20"/>
                <w:color w:val="auto"/>
              </w:rPr>
            </w:pPr>
            <w:r>
              <w:rPr>
                <w:rFonts w:ascii="Arial" w:cs="Arial" w:eastAsia="Arial" w:hAnsi="Arial"/>
                <w:sz w:val="21"/>
                <w:szCs w:val="21"/>
                <w:b w:val="1"/>
                <w:bCs w:val="1"/>
                <w:color w:val="439E58"/>
              </w:rPr>
              <w:t>7/7</w:t>
            </w:r>
          </w:p>
        </w:tc>
      </w:tr>
      <w:tr>
        <w:trPr>
          <w:trHeight w:val="353"/>
        </w:trPr>
        <w:tc>
          <w:tcPr>
            <w:tcW w:w="5040" w:type="dxa"/>
            <w:vAlign w:val="bottom"/>
          </w:tcPr>
          <w:p>
            <w:pPr>
              <w:spacing w:after="0"/>
              <w:rPr>
                <w:sz w:val="20"/>
                <w:szCs w:val="20"/>
                <w:color w:val="auto"/>
              </w:rPr>
            </w:pPr>
            <w:r>
              <w:rPr>
                <w:rFonts w:ascii="Arial" w:cs="Arial" w:eastAsia="Arial" w:hAnsi="Arial"/>
                <w:sz w:val="16"/>
                <w:szCs w:val="16"/>
                <w:b w:val="1"/>
                <w:bCs w:val="1"/>
                <w:color w:val="auto"/>
              </w:rPr>
              <w:t>Global Business &amp; Operations</w:t>
            </w:r>
          </w:p>
        </w:tc>
        <w:tc>
          <w:tcPr>
            <w:tcW w:w="3100" w:type="dxa"/>
            <w:vAlign w:val="bottom"/>
          </w:tcPr>
          <w:p>
            <w:pPr>
              <w:jc w:val="right"/>
              <w:spacing w:after="0"/>
              <w:rPr>
                <w:sz w:val="20"/>
                <w:szCs w:val="20"/>
                <w:color w:val="auto"/>
              </w:rPr>
            </w:pPr>
            <w:r>
              <w:rPr>
                <w:rFonts w:ascii="Arial" w:cs="Arial" w:eastAsia="Arial" w:hAnsi="Arial"/>
                <w:sz w:val="21"/>
                <w:szCs w:val="21"/>
                <w:b w:val="1"/>
                <w:bCs w:val="1"/>
                <w:color w:val="439E58"/>
              </w:rPr>
              <w:t>7/7</w:t>
            </w:r>
          </w:p>
        </w:tc>
      </w:tr>
      <w:tr>
        <w:trPr>
          <w:trHeight w:val="353"/>
        </w:trPr>
        <w:tc>
          <w:tcPr>
            <w:tcW w:w="5040" w:type="dxa"/>
            <w:vAlign w:val="bottom"/>
          </w:tcPr>
          <w:p>
            <w:pPr>
              <w:spacing w:after="0"/>
              <w:rPr>
                <w:sz w:val="20"/>
                <w:szCs w:val="20"/>
                <w:color w:val="auto"/>
              </w:rPr>
            </w:pPr>
            <w:r>
              <w:rPr>
                <w:rFonts w:ascii="Arial" w:cs="Arial" w:eastAsia="Arial" w:hAnsi="Arial"/>
                <w:sz w:val="16"/>
                <w:szCs w:val="16"/>
                <w:b w:val="1"/>
                <w:bCs w:val="1"/>
                <w:color w:val="auto"/>
              </w:rPr>
              <w:t>Innovation &amp; Technology</w:t>
            </w:r>
          </w:p>
        </w:tc>
        <w:tc>
          <w:tcPr>
            <w:tcW w:w="3100" w:type="dxa"/>
            <w:vAlign w:val="bottom"/>
          </w:tcPr>
          <w:p>
            <w:pPr>
              <w:jc w:val="right"/>
              <w:spacing w:after="0"/>
              <w:rPr>
                <w:sz w:val="20"/>
                <w:szCs w:val="20"/>
                <w:color w:val="auto"/>
              </w:rPr>
            </w:pPr>
            <w:r>
              <w:rPr>
                <w:rFonts w:ascii="Arial" w:cs="Arial" w:eastAsia="Arial" w:hAnsi="Arial"/>
                <w:sz w:val="21"/>
                <w:szCs w:val="21"/>
                <w:b w:val="1"/>
                <w:bCs w:val="1"/>
                <w:color w:val="439E58"/>
              </w:rPr>
              <w:t>5/7</w:t>
            </w:r>
          </w:p>
        </w:tc>
      </w:tr>
      <w:tr>
        <w:trPr>
          <w:trHeight w:val="353"/>
        </w:trPr>
        <w:tc>
          <w:tcPr>
            <w:tcW w:w="5040" w:type="dxa"/>
            <w:vAlign w:val="bottom"/>
          </w:tcPr>
          <w:p>
            <w:pPr>
              <w:spacing w:after="0"/>
              <w:rPr>
                <w:sz w:val="20"/>
                <w:szCs w:val="20"/>
                <w:color w:val="auto"/>
              </w:rPr>
            </w:pPr>
            <w:r>
              <w:rPr>
                <w:rFonts w:ascii="Arial" w:cs="Arial" w:eastAsia="Arial" w:hAnsi="Arial"/>
                <w:sz w:val="16"/>
                <w:szCs w:val="16"/>
                <w:b w:val="1"/>
                <w:bCs w:val="1"/>
                <w:color w:val="auto"/>
              </w:rPr>
              <w:t>Sales &amp; Marketing</w:t>
            </w:r>
          </w:p>
        </w:tc>
        <w:tc>
          <w:tcPr>
            <w:tcW w:w="3100" w:type="dxa"/>
            <w:vAlign w:val="bottom"/>
          </w:tcPr>
          <w:p>
            <w:pPr>
              <w:jc w:val="right"/>
              <w:spacing w:after="0"/>
              <w:rPr>
                <w:sz w:val="20"/>
                <w:szCs w:val="20"/>
                <w:color w:val="auto"/>
              </w:rPr>
            </w:pPr>
            <w:r>
              <w:rPr>
                <w:rFonts w:ascii="Arial" w:cs="Arial" w:eastAsia="Arial" w:hAnsi="Arial"/>
                <w:sz w:val="21"/>
                <w:szCs w:val="21"/>
                <w:b w:val="1"/>
                <w:bCs w:val="1"/>
                <w:color w:val="439E58"/>
              </w:rPr>
              <w:t>7/7</w:t>
            </w:r>
          </w:p>
        </w:tc>
      </w:tr>
      <w:tr>
        <w:trPr>
          <w:trHeight w:val="353"/>
        </w:trPr>
        <w:tc>
          <w:tcPr>
            <w:tcW w:w="5040" w:type="dxa"/>
            <w:vAlign w:val="bottom"/>
          </w:tcPr>
          <w:p>
            <w:pPr>
              <w:spacing w:after="0"/>
              <w:rPr>
                <w:sz w:val="20"/>
                <w:szCs w:val="20"/>
                <w:color w:val="auto"/>
              </w:rPr>
            </w:pPr>
            <w:r>
              <w:rPr>
                <w:rFonts w:ascii="Arial" w:cs="Arial" w:eastAsia="Arial" w:hAnsi="Arial"/>
                <w:sz w:val="16"/>
                <w:szCs w:val="16"/>
                <w:b w:val="1"/>
                <w:bCs w:val="1"/>
                <w:color w:val="auto"/>
              </w:rPr>
              <w:t>Environmental &amp; Climate</w:t>
            </w:r>
          </w:p>
        </w:tc>
        <w:tc>
          <w:tcPr>
            <w:tcW w:w="3100" w:type="dxa"/>
            <w:vAlign w:val="bottom"/>
          </w:tcPr>
          <w:p>
            <w:pPr>
              <w:jc w:val="right"/>
              <w:spacing w:after="0"/>
              <w:rPr>
                <w:sz w:val="20"/>
                <w:szCs w:val="20"/>
                <w:color w:val="auto"/>
              </w:rPr>
            </w:pPr>
            <w:r>
              <w:rPr>
                <w:rFonts w:ascii="Arial" w:cs="Arial" w:eastAsia="Arial" w:hAnsi="Arial"/>
                <w:sz w:val="21"/>
                <w:szCs w:val="21"/>
                <w:b w:val="1"/>
                <w:bCs w:val="1"/>
                <w:color w:val="439E58"/>
              </w:rPr>
              <w:t>2/7</w:t>
            </w:r>
          </w:p>
        </w:tc>
      </w:tr>
      <w:tr>
        <w:trPr>
          <w:trHeight w:val="353"/>
        </w:trPr>
        <w:tc>
          <w:tcPr>
            <w:tcW w:w="5040" w:type="dxa"/>
            <w:vAlign w:val="bottom"/>
          </w:tcPr>
          <w:p>
            <w:pPr>
              <w:spacing w:after="0"/>
              <w:rPr>
                <w:sz w:val="20"/>
                <w:szCs w:val="20"/>
                <w:color w:val="auto"/>
              </w:rPr>
            </w:pPr>
            <w:r>
              <w:rPr>
                <w:rFonts w:ascii="Arial" w:cs="Arial" w:eastAsia="Arial" w:hAnsi="Arial"/>
                <w:sz w:val="16"/>
                <w:szCs w:val="16"/>
                <w:b w:val="1"/>
                <w:bCs w:val="1"/>
                <w:color w:val="auto"/>
              </w:rPr>
              <w:t>People &amp; Culture</w:t>
            </w:r>
          </w:p>
        </w:tc>
        <w:tc>
          <w:tcPr>
            <w:tcW w:w="3100" w:type="dxa"/>
            <w:vAlign w:val="bottom"/>
          </w:tcPr>
          <w:p>
            <w:pPr>
              <w:jc w:val="right"/>
              <w:spacing w:after="0"/>
              <w:rPr>
                <w:sz w:val="20"/>
                <w:szCs w:val="20"/>
                <w:color w:val="auto"/>
              </w:rPr>
            </w:pPr>
            <w:r>
              <w:rPr>
                <w:rFonts w:ascii="Arial" w:cs="Arial" w:eastAsia="Arial" w:hAnsi="Arial"/>
                <w:sz w:val="21"/>
                <w:szCs w:val="21"/>
                <w:b w:val="1"/>
                <w:bCs w:val="1"/>
                <w:color w:val="439E58"/>
              </w:rPr>
              <w:t>5/7</w:t>
            </w:r>
          </w:p>
        </w:tc>
      </w:tr>
      <w:tr>
        <w:trPr>
          <w:trHeight w:val="353"/>
        </w:trPr>
        <w:tc>
          <w:tcPr>
            <w:tcW w:w="5040" w:type="dxa"/>
            <w:vAlign w:val="bottom"/>
          </w:tcPr>
          <w:p>
            <w:pPr>
              <w:spacing w:after="0"/>
              <w:rPr>
                <w:sz w:val="20"/>
                <w:szCs w:val="20"/>
                <w:color w:val="auto"/>
              </w:rPr>
            </w:pPr>
            <w:r>
              <w:rPr>
                <w:rFonts w:ascii="Arial" w:cs="Arial" w:eastAsia="Arial" w:hAnsi="Arial"/>
                <w:sz w:val="16"/>
                <w:szCs w:val="16"/>
                <w:b w:val="1"/>
                <w:bCs w:val="1"/>
                <w:color w:val="auto"/>
              </w:rPr>
              <w:t>Privacy &amp; Security</w:t>
            </w:r>
          </w:p>
        </w:tc>
        <w:tc>
          <w:tcPr>
            <w:tcW w:w="3100" w:type="dxa"/>
            <w:vAlign w:val="bottom"/>
          </w:tcPr>
          <w:p>
            <w:pPr>
              <w:jc w:val="right"/>
              <w:spacing w:after="0"/>
              <w:rPr>
                <w:sz w:val="20"/>
                <w:szCs w:val="20"/>
                <w:color w:val="auto"/>
              </w:rPr>
            </w:pPr>
            <w:r>
              <w:rPr>
                <w:rFonts w:ascii="Arial" w:cs="Arial" w:eastAsia="Arial" w:hAnsi="Arial"/>
                <w:sz w:val="21"/>
                <w:szCs w:val="21"/>
                <w:b w:val="1"/>
                <w:bCs w:val="1"/>
                <w:color w:val="439E58"/>
              </w:rPr>
              <w:t>3/7</w:t>
            </w:r>
          </w:p>
        </w:tc>
      </w:tr>
      <w:tr>
        <w:trPr>
          <w:trHeight w:val="353"/>
        </w:trPr>
        <w:tc>
          <w:tcPr>
            <w:tcW w:w="5040" w:type="dxa"/>
            <w:vAlign w:val="bottom"/>
          </w:tcPr>
          <w:p>
            <w:pPr>
              <w:spacing w:after="0"/>
              <w:rPr>
                <w:sz w:val="20"/>
                <w:szCs w:val="20"/>
                <w:color w:val="auto"/>
              </w:rPr>
            </w:pPr>
            <w:r>
              <w:rPr>
                <w:rFonts w:ascii="Arial" w:cs="Arial" w:eastAsia="Arial" w:hAnsi="Arial"/>
                <w:sz w:val="16"/>
                <w:szCs w:val="16"/>
                <w:b w:val="1"/>
                <w:bCs w:val="1"/>
                <w:color w:val="auto"/>
              </w:rPr>
              <w:t>Public Policy &amp; Government</w:t>
            </w:r>
          </w:p>
        </w:tc>
        <w:tc>
          <w:tcPr>
            <w:tcW w:w="3100" w:type="dxa"/>
            <w:vAlign w:val="bottom"/>
          </w:tcPr>
          <w:p>
            <w:pPr>
              <w:jc w:val="right"/>
              <w:spacing w:after="0"/>
              <w:rPr>
                <w:sz w:val="20"/>
                <w:szCs w:val="20"/>
                <w:color w:val="auto"/>
              </w:rPr>
            </w:pPr>
            <w:r>
              <w:rPr>
                <w:rFonts w:ascii="Arial" w:cs="Arial" w:eastAsia="Arial" w:hAnsi="Arial"/>
                <w:sz w:val="21"/>
                <w:szCs w:val="21"/>
                <w:b w:val="1"/>
                <w:bCs w:val="1"/>
                <w:color w:val="439E58"/>
              </w:rPr>
              <w:t>3/7</w:t>
            </w:r>
          </w:p>
        </w:tc>
      </w:tr>
    </w:tbl>
    <w:p>
      <w:pPr>
        <w:spacing w:after="0" w:line="200" w:lineRule="exact"/>
        <w:rPr>
          <w:sz w:val="20"/>
          <w:szCs w:val="20"/>
          <w:color w:val="auto"/>
        </w:rPr>
      </w:pPr>
    </w:p>
    <w:p>
      <w:pPr>
        <w:spacing w:after="0" w:line="384" w:lineRule="exact"/>
        <w:rPr>
          <w:sz w:val="20"/>
          <w:szCs w:val="20"/>
          <w:color w:val="auto"/>
        </w:rPr>
      </w:pPr>
    </w:p>
    <w:p>
      <w:pPr>
        <w:ind w:left="430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963" w:right="1440" w:bottom="1440" w:gutter="0" w:footer="0" w:header="0"/>
        </w:sectPr>
      </w:pPr>
    </w:p>
    <w:bookmarkStart w:id="9" w:name="page10"/>
    <w:bookmarkEnd w:id="9"/>
    <w:p>
      <w:pPr>
        <w:spacing w:after="0"/>
        <w:rPr>
          <w:sz w:val="20"/>
          <w:szCs w:val="20"/>
          <w:color w:val="auto"/>
        </w:rPr>
      </w:pPr>
      <w:r>
        <w:rPr>
          <w:rFonts w:ascii="Arial" w:cs="Arial" w:eastAsia="Arial" w:hAnsi="Arial"/>
          <w:sz w:val="31"/>
          <w:szCs w:val="31"/>
          <w:b w:val="1"/>
          <w:bCs w:val="1"/>
          <w:color w:val="auto"/>
        </w:rPr>
        <w:t>2023 Stockholder Outreach</w:t>
      </w:r>
    </w:p>
    <w:p>
      <w:pPr>
        <w:spacing w:after="0" w:line="26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began our first proactive engagement with our top stockholders in late 2022 and early 2023 prior to filing our proxy statement last year. We believe that strong corporate governance should include year-round engagement with our stockholders, and we followed a similar cycle in late 2023 and early 2024. We plan to continue engagement with our stockholders going forward.</w:t>
      </w:r>
    </w:p>
    <w:p>
      <w:pPr>
        <w:spacing w:after="0" w:line="132"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Through our outreach program we hope to solicit feedback on our corporate governance, executive compensation program, disclosure practices, and environmental and social impact programs and goals. Investor feedback is shared with the appropriate committee(s) and the Board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29845</wp:posOffset>
            </wp:positionV>
            <wp:extent cx="5012055" cy="8712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12055" cy="87122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900" w:right="200" w:hanging="160"/>
        <w:spacing w:after="0" w:line="315" w:lineRule="auto"/>
        <w:tabs>
          <w:tab w:leader="none" w:pos="1877" w:val="left"/>
        </w:tabs>
        <w:numPr>
          <w:ilvl w:val="0"/>
          <w:numId w:val="9"/>
        </w:numPr>
        <w:rPr>
          <w:rFonts w:ascii="Arial" w:cs="Arial" w:eastAsia="Arial" w:hAnsi="Arial"/>
          <w:sz w:val="12"/>
          <w:szCs w:val="12"/>
          <w:color w:val="auto"/>
        </w:rPr>
      </w:pPr>
      <w:r>
        <w:rPr>
          <w:rFonts w:ascii="Arial" w:cs="Arial" w:eastAsia="Arial" w:hAnsi="Arial"/>
          <w:sz w:val="16"/>
          <w:szCs w:val="16"/>
          <w:color w:val="auto"/>
        </w:rPr>
        <w:t>Publish Annual Report and proxy statement</w:t>
      </w:r>
    </w:p>
    <w:p>
      <w:pPr>
        <w:ind w:left="1900" w:hanging="160"/>
        <w:spacing w:after="0" w:line="304" w:lineRule="auto"/>
        <w:tabs>
          <w:tab w:leader="none" w:pos="1877" w:val="left"/>
        </w:tabs>
        <w:numPr>
          <w:ilvl w:val="0"/>
          <w:numId w:val="9"/>
        </w:numPr>
        <w:rPr>
          <w:rFonts w:ascii="Arial" w:cs="Arial" w:eastAsia="Arial" w:hAnsi="Arial"/>
          <w:sz w:val="12"/>
          <w:szCs w:val="12"/>
          <w:color w:val="auto"/>
        </w:rPr>
      </w:pPr>
      <w:r>
        <w:rPr>
          <w:rFonts w:ascii="Arial" w:cs="Arial" w:eastAsia="Arial" w:hAnsi="Arial"/>
          <w:sz w:val="16"/>
          <w:szCs w:val="16"/>
          <w:color w:val="auto"/>
        </w:rPr>
        <w:t>Publish Environmental, Social and Corporate Governance (“ESG”) Report</w:t>
      </w:r>
    </w:p>
    <w:p>
      <w:pPr>
        <w:spacing w:after="0" w:line="19" w:lineRule="exact"/>
        <w:rPr>
          <w:rFonts w:ascii="Arial" w:cs="Arial" w:eastAsia="Arial" w:hAnsi="Arial"/>
          <w:sz w:val="12"/>
          <w:szCs w:val="12"/>
          <w:color w:val="auto"/>
        </w:rPr>
      </w:pPr>
    </w:p>
    <w:p>
      <w:pPr>
        <w:ind w:left="1880" w:hanging="140"/>
        <w:spacing w:after="0"/>
        <w:tabs>
          <w:tab w:leader="none" w:pos="1880" w:val="left"/>
        </w:tabs>
        <w:numPr>
          <w:ilvl w:val="0"/>
          <w:numId w:val="9"/>
        </w:numPr>
        <w:rPr>
          <w:rFonts w:ascii="Arial" w:cs="Arial" w:eastAsia="Arial" w:hAnsi="Arial"/>
          <w:sz w:val="11"/>
          <w:szCs w:val="11"/>
          <w:color w:val="auto"/>
        </w:rPr>
      </w:pPr>
      <w:r>
        <w:rPr>
          <w:rFonts w:ascii="Arial" w:cs="Arial" w:eastAsia="Arial" w:hAnsi="Arial"/>
          <w:sz w:val="15"/>
          <w:szCs w:val="15"/>
          <w:color w:val="auto"/>
        </w:rPr>
        <w:t>Continue active outreach with</w:t>
      </w:r>
    </w:p>
    <w:p>
      <w:pPr>
        <w:spacing w:after="0" w:line="49" w:lineRule="exact"/>
        <w:rPr>
          <w:rFonts w:ascii="Arial" w:cs="Arial" w:eastAsia="Arial" w:hAnsi="Arial"/>
          <w:sz w:val="11"/>
          <w:szCs w:val="11"/>
          <w:color w:val="auto"/>
        </w:rPr>
      </w:pPr>
    </w:p>
    <w:p>
      <w:pPr>
        <w:ind w:left="1900" w:right="280"/>
        <w:spacing w:after="0" w:line="336" w:lineRule="auto"/>
        <w:rPr>
          <w:rFonts w:ascii="Arial" w:cs="Arial" w:eastAsia="Arial" w:hAnsi="Arial"/>
          <w:sz w:val="11"/>
          <w:szCs w:val="11"/>
          <w:color w:val="auto"/>
        </w:rPr>
      </w:pPr>
      <w:r>
        <w:rPr>
          <w:rFonts w:ascii="Arial" w:cs="Arial" w:eastAsia="Arial" w:hAnsi="Arial"/>
          <w:sz w:val="15"/>
          <w:szCs w:val="15"/>
          <w:color w:val="auto"/>
        </w:rPr>
        <w:t>our top investors to understand their priorities</w:t>
      </w:r>
    </w:p>
    <w:p>
      <w:pPr>
        <w:ind w:left="1900" w:right="200" w:hanging="160"/>
        <w:spacing w:after="0" w:line="318" w:lineRule="auto"/>
        <w:tabs>
          <w:tab w:leader="none" w:pos="1877" w:val="left"/>
        </w:tabs>
        <w:numPr>
          <w:ilvl w:val="0"/>
          <w:numId w:val="9"/>
        </w:numPr>
        <w:rPr>
          <w:rFonts w:ascii="Arial" w:cs="Arial" w:eastAsia="Arial" w:hAnsi="Arial"/>
          <w:sz w:val="12"/>
          <w:szCs w:val="12"/>
          <w:color w:val="auto"/>
        </w:rPr>
      </w:pPr>
      <w:r>
        <w:rPr>
          <w:rFonts w:ascii="Arial" w:cs="Arial" w:eastAsia="Arial" w:hAnsi="Arial"/>
          <w:sz w:val="16"/>
          <w:szCs w:val="16"/>
          <w:color w:val="auto"/>
        </w:rPr>
        <w:t>Conduct annual meeting of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7" w:hanging="127"/>
        <w:spacing w:after="0"/>
        <w:tabs>
          <w:tab w:leader="none" w:pos="127" w:val="left"/>
        </w:tabs>
        <w:numPr>
          <w:ilvl w:val="0"/>
          <w:numId w:val="10"/>
        </w:numPr>
        <w:rPr>
          <w:rFonts w:ascii="Arial" w:cs="Arial" w:eastAsia="Arial" w:hAnsi="Arial"/>
          <w:sz w:val="11"/>
          <w:szCs w:val="11"/>
          <w:color w:val="auto"/>
        </w:rPr>
      </w:pPr>
      <w:r>
        <w:rPr>
          <w:rFonts w:ascii="Arial" w:cs="Arial" w:eastAsia="Arial" w:hAnsi="Arial"/>
          <w:sz w:val="15"/>
          <w:szCs w:val="15"/>
          <w:color w:val="auto"/>
        </w:rPr>
        <w:t>Review voting results from our</w:t>
      </w:r>
    </w:p>
    <w:p>
      <w:pPr>
        <w:spacing w:after="0" w:line="49" w:lineRule="exact"/>
        <w:rPr>
          <w:rFonts w:ascii="Arial" w:cs="Arial" w:eastAsia="Arial" w:hAnsi="Arial"/>
          <w:sz w:val="11"/>
          <w:szCs w:val="11"/>
          <w:color w:val="auto"/>
        </w:rPr>
      </w:pPr>
    </w:p>
    <w:p>
      <w:pPr>
        <w:ind w:left="147"/>
        <w:spacing w:after="0" w:line="301" w:lineRule="auto"/>
        <w:rPr>
          <w:rFonts w:ascii="Arial" w:cs="Arial" w:eastAsia="Arial" w:hAnsi="Arial"/>
          <w:sz w:val="11"/>
          <w:szCs w:val="11"/>
          <w:color w:val="auto"/>
        </w:rPr>
      </w:pPr>
      <w:r>
        <w:rPr>
          <w:rFonts w:ascii="Arial" w:cs="Arial" w:eastAsia="Arial" w:hAnsi="Arial"/>
          <w:sz w:val="16"/>
          <w:szCs w:val="16"/>
          <w:color w:val="auto"/>
        </w:rPr>
        <w:t>most recent annual meeting of stockholders</w:t>
      </w:r>
    </w:p>
    <w:p>
      <w:pPr>
        <w:spacing w:after="0" w:line="22" w:lineRule="exact"/>
        <w:rPr>
          <w:rFonts w:ascii="Arial" w:cs="Arial" w:eastAsia="Arial" w:hAnsi="Arial"/>
          <w:sz w:val="11"/>
          <w:szCs w:val="11"/>
          <w:color w:val="auto"/>
        </w:rPr>
      </w:pPr>
    </w:p>
    <w:p>
      <w:pPr>
        <w:ind w:left="147" w:right="140" w:hanging="147"/>
        <w:spacing w:after="0" w:line="304" w:lineRule="auto"/>
        <w:tabs>
          <w:tab w:leader="none" w:pos="125" w:val="left"/>
        </w:tabs>
        <w:numPr>
          <w:ilvl w:val="0"/>
          <w:numId w:val="10"/>
        </w:numPr>
        <w:rPr>
          <w:rFonts w:ascii="Arial" w:cs="Arial" w:eastAsia="Arial" w:hAnsi="Arial"/>
          <w:sz w:val="12"/>
          <w:szCs w:val="12"/>
          <w:color w:val="auto"/>
        </w:rPr>
      </w:pPr>
      <w:r>
        <w:rPr>
          <w:rFonts w:ascii="Arial" w:cs="Arial" w:eastAsia="Arial" w:hAnsi="Arial"/>
          <w:sz w:val="16"/>
          <w:szCs w:val="16"/>
          <w:color w:val="auto"/>
        </w:rPr>
        <w:t>Share investor feedback and voting results with our committee(s) and the Board</w:t>
      </w:r>
    </w:p>
    <w:p>
      <w:pPr>
        <w:spacing w:after="0" w:line="19" w:lineRule="exact"/>
        <w:rPr>
          <w:rFonts w:ascii="Arial" w:cs="Arial" w:eastAsia="Arial" w:hAnsi="Arial"/>
          <w:sz w:val="12"/>
          <w:szCs w:val="12"/>
          <w:color w:val="auto"/>
        </w:rPr>
      </w:pPr>
    </w:p>
    <w:p>
      <w:pPr>
        <w:ind w:left="147" w:right="20" w:hanging="147"/>
        <w:spacing w:after="0" w:line="292" w:lineRule="auto"/>
        <w:tabs>
          <w:tab w:leader="none" w:pos="125" w:val="left"/>
        </w:tabs>
        <w:numPr>
          <w:ilvl w:val="0"/>
          <w:numId w:val="10"/>
        </w:numPr>
        <w:rPr>
          <w:rFonts w:ascii="Arial" w:cs="Arial" w:eastAsia="Arial" w:hAnsi="Arial"/>
          <w:sz w:val="12"/>
          <w:szCs w:val="12"/>
          <w:color w:val="auto"/>
        </w:rPr>
      </w:pPr>
      <w:r>
        <w:rPr>
          <w:rFonts w:ascii="Arial" w:cs="Arial" w:eastAsia="Arial" w:hAnsi="Arial"/>
          <w:sz w:val="16"/>
          <w:szCs w:val="16"/>
          <w:color w:val="auto"/>
        </w:rPr>
        <w:t>Evaluate proxy season trends, corporate governance best practices, regulatory developments and our current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135255</wp:posOffset>
            </wp:positionV>
            <wp:extent cx="7136765" cy="3336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3336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4" w:hanging="144"/>
        <w:spacing w:after="0"/>
        <w:tabs>
          <w:tab w:leader="none" w:pos="144" w:val="left"/>
        </w:tabs>
        <w:numPr>
          <w:ilvl w:val="0"/>
          <w:numId w:val="11"/>
        </w:numPr>
        <w:rPr>
          <w:rFonts w:ascii="Arial" w:cs="Arial" w:eastAsia="Arial" w:hAnsi="Arial"/>
          <w:sz w:val="12"/>
          <w:szCs w:val="12"/>
          <w:color w:val="auto"/>
        </w:rPr>
      </w:pPr>
      <w:r>
        <w:rPr>
          <w:rFonts w:ascii="Arial" w:cs="Arial" w:eastAsia="Arial" w:hAnsi="Arial"/>
          <w:sz w:val="16"/>
          <w:szCs w:val="16"/>
          <w:color w:val="auto"/>
        </w:rPr>
        <w:t>Begin active outreach with top</w:t>
      </w:r>
    </w:p>
    <w:p>
      <w:pPr>
        <w:spacing w:after="0" w:line="38" w:lineRule="exact"/>
        <w:rPr>
          <w:rFonts w:ascii="Arial" w:cs="Arial" w:eastAsia="Arial" w:hAnsi="Arial"/>
          <w:sz w:val="12"/>
          <w:szCs w:val="12"/>
          <w:color w:val="auto"/>
        </w:rPr>
      </w:pPr>
    </w:p>
    <w:p>
      <w:pPr>
        <w:jc w:val="both"/>
        <w:ind w:left="164" w:right="1620"/>
        <w:spacing w:after="0" w:line="293" w:lineRule="auto"/>
        <w:rPr>
          <w:rFonts w:ascii="Arial" w:cs="Arial" w:eastAsia="Arial" w:hAnsi="Arial"/>
          <w:sz w:val="12"/>
          <w:szCs w:val="12"/>
          <w:color w:val="auto"/>
        </w:rPr>
      </w:pPr>
      <w:r>
        <w:rPr>
          <w:rFonts w:ascii="Arial" w:cs="Arial" w:eastAsia="Arial" w:hAnsi="Arial"/>
          <w:sz w:val="16"/>
          <w:szCs w:val="16"/>
          <w:color w:val="auto"/>
        </w:rPr>
        <w:t>stockholders to understand their priorities, including the results of our most recent annual meeting of stockholders</w:t>
      </w:r>
    </w:p>
    <w:p>
      <w:pPr>
        <w:spacing w:after="0" w:line="29" w:lineRule="exact"/>
        <w:rPr>
          <w:rFonts w:ascii="Arial" w:cs="Arial" w:eastAsia="Arial" w:hAnsi="Arial"/>
          <w:sz w:val="12"/>
          <w:szCs w:val="12"/>
          <w:color w:val="auto"/>
        </w:rPr>
      </w:pPr>
    </w:p>
    <w:p>
      <w:pPr>
        <w:ind w:left="164" w:right="1700" w:hanging="164"/>
        <w:spacing w:after="0" w:line="355" w:lineRule="auto"/>
        <w:tabs>
          <w:tab w:leader="none" w:pos="141" w:val="left"/>
        </w:tabs>
        <w:numPr>
          <w:ilvl w:val="0"/>
          <w:numId w:val="11"/>
        </w:numPr>
        <w:rPr>
          <w:rFonts w:ascii="Arial" w:cs="Arial" w:eastAsia="Arial" w:hAnsi="Arial"/>
          <w:sz w:val="11"/>
          <w:szCs w:val="11"/>
          <w:color w:val="auto"/>
        </w:rPr>
      </w:pPr>
      <w:r>
        <w:rPr>
          <w:rFonts w:ascii="Arial" w:cs="Arial" w:eastAsia="Arial" w:hAnsi="Arial"/>
          <w:sz w:val="15"/>
          <w:szCs w:val="15"/>
          <w:color w:val="auto"/>
        </w:rPr>
        <w:t>Share investor feedback with or committee(s) and the Board</w:t>
      </w:r>
    </w:p>
    <w:p>
      <w:pPr>
        <w:spacing w:after="0" w:line="1083" w:lineRule="exact"/>
        <w:rPr>
          <w:sz w:val="20"/>
          <w:szCs w:val="20"/>
          <w:color w:val="auto"/>
        </w:rPr>
      </w:pPr>
    </w:p>
    <w:p>
      <w:pPr>
        <w:sectPr>
          <w:pgSz w:w="11900" w:h="16838" w:orient="portrait"/>
          <w:cols w:equalWidth="0" w:num="3">
            <w:col w:w="3940" w:space="493"/>
            <w:col w:w="2267" w:space="516"/>
            <w:col w:w="4024"/>
          </w:cols>
          <w:pgMar w:left="320" w:top="1000" w:right="339" w:bottom="1440" w:gutter="0" w:footer="0" w:header="0"/>
          <w:type w:val="continuous"/>
        </w:sectPr>
      </w:pPr>
    </w:p>
    <w:p>
      <w:pPr>
        <w:spacing w:after="0" w:line="392"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auto"/>
        </w:rPr>
        <w:t>Engagement</w:t>
      </w:r>
    </w:p>
    <w:p>
      <w:pPr>
        <w:spacing w:after="0" w:line="139" w:lineRule="exact"/>
        <w:rPr>
          <w:sz w:val="20"/>
          <w:szCs w:val="20"/>
          <w:color w:val="auto"/>
        </w:rPr>
      </w:pPr>
    </w:p>
    <w:p>
      <w:pPr>
        <w:jc w:val="both"/>
        <w:ind w:left="340" w:right="360"/>
        <w:spacing w:after="0" w:line="292" w:lineRule="auto"/>
        <w:rPr>
          <w:sz w:val="20"/>
          <w:szCs w:val="20"/>
          <w:color w:val="auto"/>
        </w:rPr>
      </w:pPr>
      <w:r>
        <w:rPr>
          <w:rFonts w:ascii="Arial" w:cs="Arial" w:eastAsia="Arial" w:hAnsi="Arial"/>
          <w:sz w:val="16"/>
          <w:szCs w:val="16"/>
          <w:color w:val="auto"/>
        </w:rPr>
        <w:t>As part of our stockholder outreach in 2023 and early 2024, we contacted our top 38 stockholders, representing approximately 50% of our outstanding shares of common stock. We ultimately spoke with nine stockholders representing approximately 23% of our outstanding shares of common stock. A key component of the 2023/24 outreach was to discuss changes to our executive compensation program with our top stockholders in light of the failed say on pay vote in 2022. In response to investor feedback, we made significant changes to our 2023 executive compensation program as discussed below under “Fiscal 2023 Compensation Highlights.”</w:t>
      </w:r>
    </w:p>
    <w:p>
      <w:pPr>
        <w:spacing w:after="0" w:line="135" w:lineRule="exact"/>
        <w:rPr>
          <w:sz w:val="20"/>
          <w:szCs w:val="20"/>
          <w:color w:val="auto"/>
        </w:rPr>
      </w:pPr>
    </w:p>
    <w:p>
      <w:pPr>
        <w:jc w:val="both"/>
        <w:ind w:left="340" w:right="380"/>
        <w:spacing w:after="0" w:line="295" w:lineRule="auto"/>
        <w:rPr>
          <w:sz w:val="20"/>
          <w:szCs w:val="20"/>
          <w:color w:val="auto"/>
        </w:rPr>
      </w:pPr>
      <w:r>
        <w:rPr>
          <w:rFonts w:ascii="Arial" w:cs="Arial" w:eastAsia="Arial" w:hAnsi="Arial"/>
          <w:sz w:val="16"/>
          <w:szCs w:val="16"/>
          <w:color w:val="auto"/>
        </w:rPr>
        <w:t>In addition, we discussed key topics, including Board diversity, Board structure, sustainability related efforts, supply chain management and other governance matters. We also received feedback from some investors related to their no votes cast for the reelection of Mr. Kortlang at last year’s annual meeting.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auto"/>
        </w:rPr>
        <w:t>Participants</w:t>
      </w:r>
    </w:p>
    <w:p>
      <w:pPr>
        <w:spacing w:after="0" w:line="125" w:lineRule="exact"/>
        <w:rPr>
          <w:sz w:val="20"/>
          <w:szCs w:val="20"/>
          <w:color w:val="auto"/>
        </w:rPr>
      </w:pPr>
    </w:p>
    <w:p>
      <w:pPr>
        <w:jc w:val="both"/>
        <w:ind w:left="340" w:right="360"/>
        <w:spacing w:after="0" w:line="299" w:lineRule="auto"/>
        <w:rPr>
          <w:sz w:val="20"/>
          <w:szCs w:val="20"/>
          <w:color w:val="auto"/>
        </w:rPr>
      </w:pPr>
      <w:r>
        <w:rPr>
          <w:rFonts w:ascii="Arial" w:cs="Arial" w:eastAsia="Arial" w:hAnsi="Arial"/>
          <w:sz w:val="16"/>
          <w:szCs w:val="16"/>
          <w:color w:val="auto"/>
        </w:rPr>
        <w:t>A Board member (when requested), together with our General Counsel and Corporate Secretary, our head of investor relations, and other members of the corporate legal team, participated in our outreach efforts in the Fall and Winter of 2023/24. All feedback received was shared and discussed with the Compensation Committee of the Board (the “Compensation Committee”), the Nominating and Corporate Governance Committee of the Board (the “Nominating and Corporate Governance Committee”) and the full Board.</w:t>
      </w:r>
    </w:p>
    <w:p>
      <w:pPr>
        <w:spacing w:after="0" w:line="116" w:lineRule="exact"/>
        <w:rPr>
          <w:sz w:val="20"/>
          <w:szCs w:val="20"/>
          <w:color w:val="auto"/>
        </w:rPr>
      </w:pPr>
    </w:p>
    <w:p>
      <w:pPr>
        <w:jc w:val="both"/>
        <w:ind w:left="340" w:right="380"/>
        <w:spacing w:after="0" w:line="318" w:lineRule="auto"/>
        <w:rPr>
          <w:sz w:val="20"/>
          <w:szCs w:val="20"/>
          <w:color w:val="auto"/>
        </w:rPr>
      </w:pPr>
      <w:r>
        <w:rPr>
          <w:rFonts w:ascii="Arial" w:cs="Arial" w:eastAsia="Arial" w:hAnsi="Arial"/>
          <w:sz w:val="16"/>
          <w:szCs w:val="16"/>
          <w:color w:val="auto"/>
        </w:rPr>
        <w:t>Additionally, our Chief Executive Officer (“CEO”), Chief Financial Officer (“CFO”) and head of investor relations engage in meaningful dialogue with our stockholders through our quarterly earnings calls and investor-related outreach events throughout the entire year.</w:t>
      </w:r>
    </w:p>
    <w:p>
      <w:pPr>
        <w:sectPr>
          <w:pgSz w:w="11900" w:h="16838" w:orient="portrait"/>
          <w:cols w:equalWidth="0" w:num="1">
            <w:col w:w="11240"/>
          </w:cols>
          <w:pgMar w:left="320" w:top="10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31"/>
          <w:szCs w:val="31"/>
          <w:b w:val="1"/>
          <w:bCs w:val="1"/>
          <w:color w:val="auto"/>
        </w:rPr>
        <w:t>Fiscal 2023 Compensation Highlights</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Fiscal 2023 Compensation Changes</w:t>
      </w:r>
    </w:p>
    <w:p>
      <w:pPr>
        <w:spacing w:after="0" w:line="125"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In response to the feedback we received from stockholders, the Compensation Committee made significant changes to improve our 2023 executive compensation program, which included the following:</w:t>
      </w:r>
    </w:p>
    <w:p>
      <w:pPr>
        <w:spacing w:after="0" w:line="114" w:lineRule="exact"/>
        <w:rPr>
          <w:sz w:val="20"/>
          <w:szCs w:val="20"/>
          <w:color w:val="auto"/>
        </w:rPr>
      </w:pPr>
    </w:p>
    <w:p>
      <w:pPr>
        <w:ind w:left="300" w:hanging="139"/>
        <w:spacing w:after="0"/>
        <w:tabs>
          <w:tab w:leader="none" w:pos="300" w:val="left"/>
        </w:tabs>
        <w:numPr>
          <w:ilvl w:val="0"/>
          <w:numId w:val="12"/>
        </w:numPr>
        <w:rPr>
          <w:rFonts w:ascii="Arial" w:cs="Arial" w:eastAsia="Arial" w:hAnsi="Arial"/>
          <w:sz w:val="12"/>
          <w:szCs w:val="12"/>
          <w:color w:val="auto"/>
        </w:rPr>
      </w:pPr>
      <w:r>
        <w:rPr>
          <w:rFonts w:ascii="Arial" w:cs="Arial" w:eastAsia="Arial" w:hAnsi="Arial"/>
          <w:sz w:val="16"/>
          <w:szCs w:val="16"/>
          <w:color w:val="auto"/>
        </w:rPr>
        <w:t>Tied 67% of overall value of stock awards to the achievement of performance metrics</w:t>
      </w:r>
    </w:p>
    <w:p>
      <w:pPr>
        <w:spacing w:after="0" w:line="77" w:lineRule="exact"/>
        <w:rPr>
          <w:rFonts w:ascii="Arial" w:cs="Arial" w:eastAsia="Arial" w:hAnsi="Arial"/>
          <w:sz w:val="12"/>
          <w:szCs w:val="12"/>
          <w:color w:val="auto"/>
        </w:rPr>
      </w:pPr>
    </w:p>
    <w:p>
      <w:pPr>
        <w:ind w:left="320" w:right="280" w:hanging="159"/>
        <w:spacing w:after="0" w:line="318" w:lineRule="auto"/>
        <w:tabs>
          <w:tab w:leader="none" w:pos="297" w:val="left"/>
        </w:tabs>
        <w:numPr>
          <w:ilvl w:val="0"/>
          <w:numId w:val="12"/>
        </w:numPr>
        <w:rPr>
          <w:rFonts w:ascii="Arial" w:cs="Arial" w:eastAsia="Arial" w:hAnsi="Arial"/>
          <w:sz w:val="12"/>
          <w:szCs w:val="12"/>
          <w:color w:val="auto"/>
        </w:rPr>
      </w:pPr>
      <w:r>
        <w:rPr>
          <w:rFonts w:ascii="Arial" w:cs="Arial" w:eastAsia="Arial" w:hAnsi="Arial"/>
          <w:sz w:val="16"/>
          <w:szCs w:val="16"/>
          <w:color w:val="auto"/>
        </w:rPr>
        <w:t>Added a three-year total shareholder return (“TSR”) performance-based restricted stock unit (“PSU”) award for our named executive officers (“NEOs”) that comprises 34% of the long-term incentive to replace the PSU awards based on individual goals that were eligible to vest after one year</w:t>
      </w:r>
    </w:p>
    <w:p>
      <w:pPr>
        <w:spacing w:after="0" w:line="9" w:lineRule="exact"/>
        <w:rPr>
          <w:rFonts w:ascii="Arial" w:cs="Arial" w:eastAsia="Arial" w:hAnsi="Arial"/>
          <w:sz w:val="12"/>
          <w:szCs w:val="12"/>
          <w:color w:val="auto"/>
        </w:rPr>
      </w:pPr>
    </w:p>
    <w:p>
      <w:pPr>
        <w:ind w:left="300" w:hanging="139"/>
        <w:spacing w:after="0"/>
        <w:tabs>
          <w:tab w:leader="none" w:pos="300" w:val="left"/>
        </w:tabs>
        <w:numPr>
          <w:ilvl w:val="0"/>
          <w:numId w:val="12"/>
        </w:numPr>
        <w:rPr>
          <w:rFonts w:ascii="Arial" w:cs="Arial" w:eastAsia="Arial" w:hAnsi="Arial"/>
          <w:sz w:val="12"/>
          <w:szCs w:val="12"/>
          <w:color w:val="auto"/>
        </w:rPr>
      </w:pPr>
      <w:r>
        <w:rPr>
          <w:rFonts w:ascii="Arial" w:cs="Arial" w:eastAsia="Arial" w:hAnsi="Arial"/>
          <w:sz w:val="16"/>
          <w:szCs w:val="16"/>
          <w:color w:val="auto"/>
        </w:rPr>
        <w:t>Did not increase the base salary of our CEO nor the target cash incentive opportunities for our CEO or other NEOs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2"/>
        </w:numPr>
        <w:rPr>
          <w:rFonts w:ascii="Arial" w:cs="Arial" w:eastAsia="Arial" w:hAnsi="Arial"/>
          <w:sz w:val="12"/>
          <w:szCs w:val="12"/>
          <w:color w:val="auto"/>
        </w:rPr>
      </w:pPr>
      <w:r>
        <w:rPr>
          <w:rFonts w:ascii="Arial" w:cs="Arial" w:eastAsia="Arial" w:hAnsi="Arial"/>
          <w:sz w:val="16"/>
          <w:szCs w:val="16"/>
          <w:color w:val="auto"/>
        </w:rPr>
        <w:t>Added an ESG goal to the annual CEO goals that requires us to install solar systems on Enphase leased buildings to reduce our overall carbon footprint</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2"/>
        </w:numPr>
        <w:rPr>
          <w:rFonts w:ascii="Arial" w:cs="Arial" w:eastAsia="Arial" w:hAnsi="Arial"/>
          <w:sz w:val="12"/>
          <w:szCs w:val="12"/>
          <w:color w:val="auto"/>
        </w:rPr>
      </w:pPr>
      <w:r>
        <w:rPr>
          <w:rFonts w:ascii="Arial" w:cs="Arial" w:eastAsia="Arial" w:hAnsi="Arial"/>
          <w:sz w:val="16"/>
          <w:szCs w:val="16"/>
          <w:color w:val="auto"/>
        </w:rPr>
        <w:t>Extended the vesting of time-based restricted stock units (“RSU”) from two to three years</w:t>
      </w:r>
    </w:p>
    <w:p>
      <w:pPr>
        <w:spacing w:after="0" w:line="77" w:lineRule="exact"/>
        <w:rPr>
          <w:rFonts w:ascii="Arial" w:cs="Arial" w:eastAsia="Arial" w:hAnsi="Arial"/>
          <w:sz w:val="12"/>
          <w:szCs w:val="12"/>
          <w:color w:val="auto"/>
        </w:rPr>
      </w:pPr>
    </w:p>
    <w:p>
      <w:pPr>
        <w:ind w:left="300" w:hanging="139"/>
        <w:spacing w:after="0"/>
        <w:tabs>
          <w:tab w:leader="none" w:pos="300" w:val="left"/>
        </w:tabs>
        <w:numPr>
          <w:ilvl w:val="0"/>
          <w:numId w:val="12"/>
        </w:numPr>
        <w:rPr>
          <w:rFonts w:ascii="Arial" w:cs="Arial" w:eastAsia="Arial" w:hAnsi="Arial"/>
          <w:sz w:val="12"/>
          <w:szCs w:val="12"/>
          <w:color w:val="auto"/>
        </w:rPr>
      </w:pPr>
      <w:r>
        <w:rPr>
          <w:rFonts w:ascii="Arial" w:cs="Arial" w:eastAsia="Arial" w:hAnsi="Arial"/>
          <w:sz w:val="16"/>
          <w:szCs w:val="16"/>
          <w:color w:val="auto"/>
        </w:rPr>
        <w:t>Engaged Compensia, a compensation consulting firm, to help with the overall design of our executive compensation program in 2023</w:t>
      </w:r>
    </w:p>
    <w:p>
      <w:pPr>
        <w:spacing w:after="0" w:line="90" w:lineRule="exact"/>
        <w:rPr>
          <w:rFonts w:ascii="Arial" w:cs="Arial" w:eastAsia="Arial" w:hAnsi="Arial"/>
          <w:sz w:val="12"/>
          <w:szCs w:val="12"/>
          <w:color w:val="auto"/>
        </w:rPr>
      </w:pPr>
    </w:p>
    <w:p>
      <w:pPr>
        <w:ind w:left="320" w:right="200" w:hanging="159"/>
        <w:spacing w:after="0" w:line="318" w:lineRule="auto"/>
        <w:tabs>
          <w:tab w:leader="none" w:pos="297" w:val="left"/>
        </w:tabs>
        <w:numPr>
          <w:ilvl w:val="0"/>
          <w:numId w:val="12"/>
        </w:numPr>
        <w:rPr>
          <w:rFonts w:ascii="Arial" w:cs="Arial" w:eastAsia="Arial" w:hAnsi="Arial"/>
          <w:sz w:val="12"/>
          <w:szCs w:val="12"/>
          <w:color w:val="auto"/>
        </w:rPr>
      </w:pPr>
      <w:r>
        <w:rPr>
          <w:rFonts w:ascii="Arial" w:cs="Arial" w:eastAsia="Arial" w:hAnsi="Arial"/>
          <w:sz w:val="16"/>
          <w:szCs w:val="16"/>
          <w:color w:val="auto"/>
        </w:rPr>
        <w:t>Improved our Compensation Discussion and Analysis (“CD&amp;A”) disclosure in our annual proxy statement to better explain our annual and quarterly SMART goals and overall compensation program</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Pay-for-Performance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79375</wp:posOffset>
            </wp:positionV>
            <wp:extent cx="4448175" cy="3086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48175" cy="308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80"/>
        <w:spacing w:after="0"/>
        <w:rPr>
          <w:sz w:val="20"/>
          <w:szCs w:val="20"/>
          <w:color w:val="auto"/>
        </w:rPr>
      </w:pPr>
      <w:r>
        <w:rPr>
          <w:rFonts w:ascii="Wingdings" w:cs="Wingdings" w:eastAsia="Wingdings" w:hAnsi="Wingdings"/>
          <w:sz w:val="17"/>
          <w:szCs w:val="17"/>
          <w:b w:val="1"/>
          <w:bCs w:val="1"/>
          <w:color w:val="3B999E"/>
        </w:rPr>
        <w:t xml:space="preserve">n </w:t>
      </w:r>
      <w:r>
        <w:rPr>
          <w:rFonts w:ascii="Arial" w:cs="Arial" w:eastAsia="Arial" w:hAnsi="Arial"/>
          <w:sz w:val="15"/>
          <w:szCs w:val="15"/>
          <w:b w:val="1"/>
          <w:bCs w:val="1"/>
          <w:color w:val="000000"/>
        </w:rPr>
        <w:t>Base Salary</w:t>
      </w:r>
    </w:p>
    <w:p>
      <w:pPr>
        <w:ind w:left="4280"/>
        <w:spacing w:after="0" w:line="216" w:lineRule="auto"/>
        <w:rPr>
          <w:sz w:val="20"/>
          <w:szCs w:val="20"/>
          <w:color w:val="auto"/>
        </w:rPr>
      </w:pPr>
      <w:r>
        <w:rPr>
          <w:rFonts w:ascii="Wingdings" w:cs="Wingdings" w:eastAsia="Wingdings" w:hAnsi="Wingdings"/>
          <w:sz w:val="17"/>
          <w:szCs w:val="17"/>
          <w:b w:val="1"/>
          <w:bCs w:val="1"/>
          <w:color w:val="2C436F"/>
        </w:rPr>
        <w:t xml:space="preserve">n </w:t>
      </w:r>
      <w:r>
        <w:rPr>
          <w:rFonts w:ascii="Arial" w:cs="Arial" w:eastAsia="Arial" w:hAnsi="Arial"/>
          <w:sz w:val="15"/>
          <w:szCs w:val="15"/>
          <w:b w:val="1"/>
          <w:bCs w:val="1"/>
          <w:color w:val="000000"/>
        </w:rPr>
        <w:t>Time-Based RSUs</w:t>
      </w:r>
    </w:p>
    <w:p>
      <w:pPr>
        <w:ind w:left="4460" w:hanging="171"/>
        <w:spacing w:after="0"/>
        <w:tabs>
          <w:tab w:leader="none" w:pos="4460" w:val="left"/>
        </w:tabs>
        <w:numPr>
          <w:ilvl w:val="0"/>
          <w:numId w:val="13"/>
        </w:numPr>
        <w:rPr>
          <w:rFonts w:ascii="Wingdings" w:cs="Wingdings" w:eastAsia="Wingdings" w:hAnsi="Wingdings"/>
          <w:sz w:val="17"/>
          <w:szCs w:val="17"/>
          <w:b w:val="1"/>
          <w:bCs w:val="1"/>
          <w:color w:val="FFD02C"/>
        </w:rPr>
      </w:pPr>
      <w:r>
        <w:rPr>
          <w:rFonts w:ascii="Arial" w:cs="Arial" w:eastAsia="Arial" w:hAnsi="Arial"/>
          <w:sz w:val="16"/>
          <w:szCs w:val="16"/>
          <w:b w:val="1"/>
          <w:bCs w:val="1"/>
          <w:color w:val="auto"/>
        </w:rPr>
        <w:t>PSUs</w:t>
      </w:r>
    </w:p>
    <w:p>
      <w:pPr>
        <w:spacing w:after="0" w:line="8" w:lineRule="exact"/>
        <w:rPr>
          <w:rFonts w:ascii="Wingdings" w:cs="Wingdings" w:eastAsia="Wingdings" w:hAnsi="Wingdings"/>
          <w:sz w:val="17"/>
          <w:szCs w:val="17"/>
          <w:b w:val="1"/>
          <w:bCs w:val="1"/>
          <w:color w:val="FFD02C"/>
        </w:rPr>
      </w:pPr>
    </w:p>
    <w:p>
      <w:pPr>
        <w:ind w:left="4460" w:hanging="171"/>
        <w:spacing w:after="0"/>
        <w:tabs>
          <w:tab w:leader="none" w:pos="4460" w:val="left"/>
        </w:tabs>
        <w:numPr>
          <w:ilvl w:val="0"/>
          <w:numId w:val="13"/>
        </w:numPr>
        <w:rPr>
          <w:rFonts w:ascii="Wingdings" w:cs="Wingdings" w:eastAsia="Wingdings" w:hAnsi="Wingdings"/>
          <w:sz w:val="17"/>
          <w:szCs w:val="17"/>
          <w:b w:val="1"/>
          <w:bCs w:val="1"/>
          <w:color w:val="F45270"/>
        </w:rPr>
      </w:pPr>
      <w:r>
        <w:rPr>
          <w:rFonts w:ascii="Arial" w:cs="Arial" w:eastAsia="Arial" w:hAnsi="Arial"/>
          <w:sz w:val="16"/>
          <w:szCs w:val="16"/>
          <w:b w:val="1"/>
          <w:bCs w:val="1"/>
          <w:color w:val="auto"/>
        </w:rPr>
        <w:t>Quarterly Performance Cash Bonus</w:t>
      </w:r>
    </w:p>
    <w:p>
      <w:pPr>
        <w:spacing w:after="0" w:line="200" w:lineRule="exact"/>
        <w:rPr>
          <w:sz w:val="20"/>
          <w:szCs w:val="20"/>
          <w:color w:val="auto"/>
        </w:rPr>
      </w:pPr>
    </w:p>
    <w:p>
      <w:pPr>
        <w:spacing w:after="0" w:line="22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charts above reflect 2023 annual base salaries, 2023 quarterly performance cash bonuses (at risk), time-based RSUs and PSUs (at risk), as reported in the Summary Compensation Table below. The charts do not include “All Other Compensation,” as reported in the Summary Compensation Table, because such amounts were less than 1% for each NEO’s aggregate compensation for 2023. The charts above do not include Jeff McNeil, our former Chief Operating Officer, as he was no longer serving as an executive officer at the end of 2023.</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1" w:name="page12"/>
    <w:bookmarkEnd w:id="11"/>
    <w:p>
      <w:pPr>
        <w:spacing w:after="0"/>
        <w:rPr>
          <w:sz w:val="20"/>
          <w:szCs w:val="20"/>
          <w:color w:val="auto"/>
        </w:rPr>
      </w:pPr>
      <w:r>
        <w:rPr>
          <w:rFonts w:ascii="Arial" w:cs="Arial" w:eastAsia="Arial" w:hAnsi="Arial"/>
          <w:sz w:val="21"/>
          <w:szCs w:val="21"/>
          <w:b w:val="1"/>
          <w:bCs w:val="1"/>
          <w:color w:val="auto"/>
        </w:rPr>
        <w:t>Strong Governance Standards and Best Practices</w:t>
      </w:r>
    </w:p>
    <w:p>
      <w:pPr>
        <w:spacing w:after="0" w:line="125"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The Compensation Committee of the Board is fully engaged to respond to the dynamic business environment in which we operate. As discussed in the CD&amp;A section of this proxy statement, the Compensation Committee acts to:</w:t>
      </w:r>
    </w:p>
    <w:p>
      <w:pPr>
        <w:spacing w:after="0" w:line="114" w:lineRule="exact"/>
        <w:rPr>
          <w:sz w:val="20"/>
          <w:szCs w:val="20"/>
          <w:color w:val="auto"/>
        </w:rPr>
      </w:pPr>
    </w:p>
    <w:p>
      <w:pPr>
        <w:ind w:left="300" w:hanging="139"/>
        <w:spacing w:after="0"/>
        <w:tabs>
          <w:tab w:leader="none" w:pos="300" w:val="left"/>
        </w:tabs>
        <w:numPr>
          <w:ilvl w:val="0"/>
          <w:numId w:val="14"/>
        </w:numPr>
        <w:rPr>
          <w:rFonts w:ascii="Arial" w:cs="Arial" w:eastAsia="Arial" w:hAnsi="Arial"/>
          <w:sz w:val="12"/>
          <w:szCs w:val="12"/>
          <w:color w:val="auto"/>
        </w:rPr>
      </w:pPr>
      <w:r>
        <w:rPr>
          <w:rFonts w:ascii="Arial" w:cs="Arial" w:eastAsia="Arial" w:hAnsi="Arial"/>
          <w:sz w:val="16"/>
          <w:szCs w:val="16"/>
          <w:color w:val="auto"/>
        </w:rPr>
        <w:t>Adapt our compensation program to match the needs of our business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4"/>
        </w:numPr>
        <w:rPr>
          <w:rFonts w:ascii="Arial" w:cs="Arial" w:eastAsia="Arial" w:hAnsi="Arial"/>
          <w:sz w:val="12"/>
          <w:szCs w:val="12"/>
          <w:color w:val="auto"/>
        </w:rPr>
      </w:pPr>
      <w:r>
        <w:rPr>
          <w:rFonts w:ascii="Arial" w:cs="Arial" w:eastAsia="Arial" w:hAnsi="Arial"/>
          <w:sz w:val="16"/>
          <w:szCs w:val="16"/>
          <w:color w:val="auto"/>
        </w:rPr>
        <w:t>Attract and retain top talent in a dynamic and challenging business environment</w:t>
      </w:r>
    </w:p>
    <w:p>
      <w:pPr>
        <w:spacing w:after="0" w:line="77" w:lineRule="exact"/>
        <w:rPr>
          <w:rFonts w:ascii="Arial" w:cs="Arial" w:eastAsia="Arial" w:hAnsi="Arial"/>
          <w:sz w:val="12"/>
          <w:szCs w:val="12"/>
          <w:color w:val="auto"/>
        </w:rPr>
      </w:pPr>
    </w:p>
    <w:p>
      <w:pPr>
        <w:ind w:left="320" w:right="80" w:hanging="159"/>
        <w:spacing w:after="0" w:line="318" w:lineRule="auto"/>
        <w:tabs>
          <w:tab w:leader="none" w:pos="297" w:val="left"/>
        </w:tabs>
        <w:numPr>
          <w:ilvl w:val="0"/>
          <w:numId w:val="14"/>
        </w:numPr>
        <w:rPr>
          <w:rFonts w:ascii="Arial" w:cs="Arial" w:eastAsia="Arial" w:hAnsi="Arial"/>
          <w:sz w:val="12"/>
          <w:szCs w:val="12"/>
          <w:color w:val="auto"/>
        </w:rPr>
      </w:pPr>
      <w:r>
        <w:rPr>
          <w:rFonts w:ascii="Arial" w:cs="Arial" w:eastAsia="Arial" w:hAnsi="Arial"/>
          <w:sz w:val="16"/>
          <w:szCs w:val="16"/>
          <w:color w:val="auto"/>
        </w:rPr>
        <w:t>Foster long-term stockholder value creation and pay-for-performance alignment by creating meaningful equity incentives linked to rigorous financial, strategic and operational objectives</w:t>
      </w:r>
    </w:p>
    <w:p>
      <w:pPr>
        <w:spacing w:after="0" w:line="9" w:lineRule="exact"/>
        <w:rPr>
          <w:rFonts w:ascii="Arial" w:cs="Arial" w:eastAsia="Arial" w:hAnsi="Arial"/>
          <w:sz w:val="12"/>
          <w:szCs w:val="12"/>
          <w:color w:val="auto"/>
        </w:rPr>
      </w:pPr>
    </w:p>
    <w:p>
      <w:pPr>
        <w:ind w:left="300" w:hanging="139"/>
        <w:spacing w:after="0"/>
        <w:tabs>
          <w:tab w:leader="none" w:pos="300" w:val="left"/>
        </w:tabs>
        <w:numPr>
          <w:ilvl w:val="0"/>
          <w:numId w:val="14"/>
        </w:numPr>
        <w:rPr>
          <w:rFonts w:ascii="Arial" w:cs="Arial" w:eastAsia="Arial" w:hAnsi="Arial"/>
          <w:sz w:val="12"/>
          <w:szCs w:val="12"/>
          <w:color w:val="auto"/>
        </w:rPr>
      </w:pPr>
      <w:r>
        <w:rPr>
          <w:rFonts w:ascii="Arial" w:cs="Arial" w:eastAsia="Arial" w:hAnsi="Arial"/>
          <w:sz w:val="16"/>
          <w:szCs w:val="16"/>
          <w:color w:val="auto"/>
        </w:rPr>
        <w:t>Mitigate compensation-related risks to the organization</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4"/>
        </w:numPr>
        <w:rPr>
          <w:rFonts w:ascii="Arial" w:cs="Arial" w:eastAsia="Arial" w:hAnsi="Arial"/>
          <w:sz w:val="12"/>
          <w:szCs w:val="12"/>
          <w:color w:val="auto"/>
        </w:rPr>
      </w:pPr>
      <w:r>
        <w:rPr>
          <w:rFonts w:ascii="Arial" w:cs="Arial" w:eastAsia="Arial" w:hAnsi="Arial"/>
          <w:sz w:val="16"/>
          <w:szCs w:val="16"/>
          <w:color w:val="auto"/>
        </w:rPr>
        <w:t>Conduct an annual say-on-pay advisory vote and continue to engage with stockholders on executive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Effective Program Design</w:t>
      </w:r>
    </w:p>
    <w:p>
      <w:pPr>
        <w:spacing w:after="0" w:line="125"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As further discussed in the CD&amp;A section of this proxy statement, the Compensation Committee has established the following guiding principles, policies and practices when structuring the compensation paid to our NEOs:</w:t>
      </w:r>
    </w:p>
    <w:p>
      <w:pPr>
        <w:spacing w:after="0" w:line="101" w:lineRule="exact"/>
        <w:rPr>
          <w:sz w:val="20"/>
          <w:szCs w:val="20"/>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Competitive total rewards package benchmarked against comparable peers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Vast majority of executive pay based on performance, primarily in the form of stock-based compensation</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Starting in 2023, added a three-year TSR metric to the long-term incentive program</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Multi-year vesting of stock awards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Stock ownership guidelines, including rigorous share ownership requirements</w:t>
      </w:r>
    </w:p>
    <w:p>
      <w:pPr>
        <w:spacing w:after="0" w:line="77"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SEC compliant clawback policy</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No fixed term or evergreen employment agreements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Incorporation of ESG goals into our short-term and long-term incentive plans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Double-trigger equity acceleration upon a change-in-control</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No hedging, short sales or derivative transactions for NEOs</w:t>
      </w:r>
    </w:p>
    <w:p>
      <w:pPr>
        <w:spacing w:after="0" w:line="77"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No tax gross-ups upon a change-in-control or on perquisites or benefits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No executive perquisites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6"/>
          <w:szCs w:val="16"/>
          <w:color w:val="auto"/>
        </w:rPr>
        <w:t>No executive pension plans or supplemental executive retirement plans</w:t>
      </w:r>
    </w:p>
    <w:p>
      <w:pPr>
        <w:spacing w:after="0" w:line="195"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For a detailed discussion of our executive compensation program, and the 2023 compensation of our NEOs, see the section of this proxy statement entitled “Compensation Discussion and Analysis” beginning on page 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2" w:name="page13"/>
    <w:bookmarkEnd w:id="12"/>
    <w:p>
      <w:pPr>
        <w:spacing w:after="0"/>
        <w:rPr>
          <w:sz w:val="20"/>
          <w:szCs w:val="20"/>
          <w:color w:val="auto"/>
        </w:rPr>
      </w:pPr>
      <w:r>
        <w:rPr>
          <w:rFonts w:ascii="Arial" w:cs="Arial" w:eastAsia="Arial" w:hAnsi="Arial"/>
          <w:sz w:val="31"/>
          <w:szCs w:val="31"/>
          <w:b w:val="1"/>
          <w:bCs w:val="1"/>
          <w:color w:val="auto"/>
        </w:rPr>
        <w:t>Voting Roadmap and Vote Recommendations</w:t>
      </w:r>
    </w:p>
    <w:p>
      <w:pPr>
        <w:spacing w:after="0" w:line="261"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This section highlights selected information about the items to be voted on at the Annual Meeting. It does not contain all information that you should consider in deciding how to vote. You should read the entirety of this proxy statement carefully before voting.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 w:type="dxa"/>
            <w:vAlign w:val="bottom"/>
            <w:shd w:val="clear" w:color="auto" w:fill="FAF6EF"/>
          </w:tcPr>
          <w:p>
            <w:pPr>
              <w:spacing w:after="0"/>
              <w:rPr>
                <w:sz w:val="21"/>
                <w:szCs w:val="21"/>
                <w:color w:val="auto"/>
              </w:rPr>
            </w:pPr>
          </w:p>
        </w:tc>
        <w:tc>
          <w:tcPr>
            <w:tcW w:w="2220" w:type="dxa"/>
            <w:vAlign w:val="bottom"/>
            <w:vMerge w:val="restart"/>
            <w:shd w:val="clear" w:color="auto" w:fill="FAF6EF"/>
          </w:tcPr>
          <w:p>
            <w:pPr>
              <w:spacing w:after="0"/>
              <w:rPr>
                <w:sz w:val="20"/>
                <w:szCs w:val="20"/>
                <w:color w:val="auto"/>
              </w:rPr>
            </w:pPr>
            <w:r>
              <w:rPr>
                <w:rFonts w:ascii="Arial" w:cs="Arial" w:eastAsia="Arial" w:hAnsi="Arial"/>
                <w:sz w:val="31"/>
                <w:szCs w:val="31"/>
                <w:b w:val="1"/>
                <w:bCs w:val="1"/>
                <w:color w:val="439E58"/>
              </w:rPr>
              <w:t>Proposal 1</w:t>
            </w:r>
          </w:p>
        </w:tc>
        <w:tc>
          <w:tcPr>
            <w:tcW w:w="360" w:type="dxa"/>
            <w:vAlign w:val="bottom"/>
            <w:tcBorders>
              <w:right w:val="single" w:sz="8" w:color="FAF6EF"/>
            </w:tcBorders>
            <w:shd w:val="clear" w:color="auto" w:fill="FAF6EF"/>
          </w:tcPr>
          <w:p>
            <w:pPr>
              <w:spacing w:after="0"/>
              <w:rPr>
                <w:sz w:val="21"/>
                <w:szCs w:val="21"/>
                <w:color w:val="auto"/>
              </w:rPr>
            </w:pPr>
          </w:p>
        </w:tc>
        <w:tc>
          <w:tcPr>
            <w:tcW w:w="320" w:type="dxa"/>
            <w:vAlign w:val="bottom"/>
            <w:shd w:val="clear" w:color="auto" w:fill="FAF6EF"/>
          </w:tcPr>
          <w:p>
            <w:pPr>
              <w:spacing w:after="0"/>
              <w:rPr>
                <w:sz w:val="21"/>
                <w:szCs w:val="21"/>
                <w:color w:val="auto"/>
              </w:rPr>
            </w:pPr>
          </w:p>
        </w:tc>
        <w:tc>
          <w:tcPr>
            <w:tcW w:w="3860" w:type="dxa"/>
            <w:vAlign w:val="bottom"/>
            <w:tcBorders>
              <w:right w:val="single" w:sz="8" w:color="FAF6EF"/>
            </w:tcBorders>
            <w:gridSpan w:val="2"/>
            <w:vMerge w:val="restart"/>
            <w:shd w:val="clear" w:color="auto" w:fill="FAF6EF"/>
          </w:tcPr>
          <w:p>
            <w:pPr>
              <w:spacing w:after="0"/>
              <w:rPr>
                <w:sz w:val="20"/>
                <w:szCs w:val="20"/>
                <w:color w:val="auto"/>
              </w:rPr>
            </w:pPr>
            <w:r>
              <w:rPr>
                <w:rFonts w:ascii="Arial" w:cs="Arial" w:eastAsia="Arial" w:hAnsi="Arial"/>
                <w:sz w:val="21"/>
                <w:szCs w:val="21"/>
                <w:b w:val="1"/>
                <w:bCs w:val="1"/>
                <w:color w:val="auto"/>
              </w:rPr>
              <w:t>Elect two Class III Director Nominees</w:t>
            </w:r>
          </w:p>
        </w:tc>
        <w:tc>
          <w:tcPr>
            <w:tcW w:w="1500" w:type="dxa"/>
            <w:vAlign w:val="bottom"/>
            <w:tcBorders>
              <w:right w:val="single" w:sz="8" w:color="FAF6EF"/>
            </w:tcBorders>
            <w:shd w:val="clear" w:color="auto" w:fill="FAF6EF"/>
          </w:tcPr>
          <w:p>
            <w:pPr>
              <w:spacing w:after="0"/>
              <w:rPr>
                <w:sz w:val="21"/>
                <w:szCs w:val="21"/>
                <w:color w:val="auto"/>
              </w:rPr>
            </w:pPr>
          </w:p>
        </w:tc>
        <w:tc>
          <w:tcPr>
            <w:tcW w:w="2300" w:type="dxa"/>
            <w:vAlign w:val="bottom"/>
            <w:shd w:val="clear" w:color="auto" w:fill="FAF6EF"/>
          </w:tcPr>
          <w:p>
            <w:pPr>
              <w:spacing w:after="0"/>
              <w:rPr>
                <w:sz w:val="21"/>
                <w:szCs w:val="21"/>
                <w:color w:val="auto"/>
              </w:rPr>
            </w:pPr>
          </w:p>
        </w:tc>
        <w:tc>
          <w:tcPr>
            <w:tcW w:w="340" w:type="dxa"/>
            <w:vAlign w:val="bottom"/>
            <w:shd w:val="clear" w:color="auto" w:fill="FAF6E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340" w:type="dxa"/>
            <w:vAlign w:val="bottom"/>
            <w:shd w:val="clear" w:color="auto" w:fill="FAF6EF"/>
          </w:tcPr>
          <w:p>
            <w:pPr>
              <w:spacing w:after="0"/>
              <w:rPr>
                <w:sz w:val="24"/>
                <w:szCs w:val="24"/>
                <w:color w:val="auto"/>
              </w:rPr>
            </w:pPr>
          </w:p>
        </w:tc>
        <w:tc>
          <w:tcPr>
            <w:tcW w:w="2220" w:type="dxa"/>
            <w:vAlign w:val="bottom"/>
            <w:vMerge w:val="continue"/>
            <w:shd w:val="clear" w:color="auto" w:fill="FAF6EF"/>
          </w:tcPr>
          <w:p>
            <w:pPr>
              <w:spacing w:after="0"/>
              <w:rPr>
                <w:sz w:val="24"/>
                <w:szCs w:val="24"/>
                <w:color w:val="auto"/>
              </w:rPr>
            </w:pPr>
          </w:p>
        </w:tc>
        <w:tc>
          <w:tcPr>
            <w:tcW w:w="360" w:type="dxa"/>
            <w:vAlign w:val="bottom"/>
            <w:tcBorders>
              <w:right w:val="single" w:sz="8" w:color="439E58"/>
            </w:tcBorders>
            <w:shd w:val="clear" w:color="auto" w:fill="FAF6EF"/>
          </w:tcPr>
          <w:p>
            <w:pPr>
              <w:spacing w:after="0"/>
              <w:rPr>
                <w:sz w:val="24"/>
                <w:szCs w:val="24"/>
                <w:color w:val="auto"/>
              </w:rPr>
            </w:pPr>
          </w:p>
        </w:tc>
        <w:tc>
          <w:tcPr>
            <w:tcW w:w="320" w:type="dxa"/>
            <w:vAlign w:val="bottom"/>
            <w:shd w:val="clear" w:color="auto" w:fill="FAF6EF"/>
          </w:tcPr>
          <w:p>
            <w:pPr>
              <w:spacing w:after="0"/>
              <w:rPr>
                <w:sz w:val="24"/>
                <w:szCs w:val="24"/>
                <w:color w:val="auto"/>
              </w:rPr>
            </w:pPr>
          </w:p>
        </w:tc>
        <w:tc>
          <w:tcPr>
            <w:tcW w:w="3860" w:type="dxa"/>
            <w:vAlign w:val="bottom"/>
            <w:tcBorders>
              <w:right w:val="single" w:sz="8" w:color="FAF6EF"/>
            </w:tcBorders>
            <w:gridSpan w:val="2"/>
            <w:vMerge w:val="continue"/>
            <w:shd w:val="clear" w:color="auto" w:fill="FAF6EF"/>
          </w:tcPr>
          <w:p>
            <w:pPr>
              <w:spacing w:after="0"/>
              <w:rPr>
                <w:sz w:val="24"/>
                <w:szCs w:val="24"/>
                <w:color w:val="auto"/>
              </w:rPr>
            </w:pPr>
          </w:p>
        </w:tc>
        <w:tc>
          <w:tcPr>
            <w:tcW w:w="1500" w:type="dxa"/>
            <w:vAlign w:val="bottom"/>
            <w:tcBorders>
              <w:right w:val="single" w:sz="8" w:color="FAF6EF"/>
            </w:tcBorders>
            <w:shd w:val="clear" w:color="auto" w:fill="FAF6EF"/>
          </w:tcPr>
          <w:p>
            <w:pPr>
              <w:spacing w:after="0"/>
              <w:rPr>
                <w:sz w:val="24"/>
                <w:szCs w:val="24"/>
                <w:color w:val="auto"/>
              </w:rPr>
            </w:pPr>
          </w:p>
        </w:tc>
        <w:tc>
          <w:tcPr>
            <w:tcW w:w="2300" w:type="dxa"/>
            <w:vAlign w:val="bottom"/>
            <w:shd w:val="clear" w:color="auto" w:fill="FAF6EF"/>
          </w:tcPr>
          <w:p>
            <w:pPr>
              <w:spacing w:after="0"/>
              <w:rPr>
                <w:sz w:val="24"/>
                <w:szCs w:val="24"/>
                <w:color w:val="auto"/>
              </w:rPr>
            </w:pPr>
          </w:p>
        </w:tc>
        <w:tc>
          <w:tcPr>
            <w:tcW w:w="340" w:type="dxa"/>
            <w:vAlign w:val="bottom"/>
            <w:shd w:val="clear" w:color="auto" w:fill="FAF6E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40" w:type="dxa"/>
            <w:vAlign w:val="bottom"/>
            <w:shd w:val="clear" w:color="auto" w:fill="FAF6EF"/>
          </w:tcPr>
          <w:p>
            <w:pPr>
              <w:spacing w:after="0"/>
              <w:rPr>
                <w:sz w:val="6"/>
                <w:szCs w:val="6"/>
                <w:color w:val="auto"/>
              </w:rPr>
            </w:pPr>
          </w:p>
        </w:tc>
        <w:tc>
          <w:tcPr>
            <w:tcW w:w="2220" w:type="dxa"/>
            <w:vAlign w:val="bottom"/>
            <w:vMerge w:val="restart"/>
            <w:shd w:val="clear" w:color="auto" w:fill="FAF6EF"/>
          </w:tcPr>
          <w:p>
            <w:pPr>
              <w:spacing w:after="0"/>
              <w:rPr>
                <w:sz w:val="20"/>
                <w:szCs w:val="20"/>
                <w:color w:val="auto"/>
              </w:rPr>
            </w:pPr>
            <w:r>
              <w:rPr>
                <w:rFonts w:ascii="Arial" w:cs="Arial" w:eastAsia="Arial" w:hAnsi="Arial"/>
                <w:sz w:val="16"/>
                <w:szCs w:val="16"/>
                <w:color w:val="auto"/>
              </w:rPr>
              <w:t>See page 8</w:t>
            </w:r>
          </w:p>
        </w:tc>
        <w:tc>
          <w:tcPr>
            <w:tcW w:w="360" w:type="dxa"/>
            <w:vAlign w:val="bottom"/>
            <w:tcBorders>
              <w:right w:val="single" w:sz="8" w:color="439E58"/>
            </w:tcBorders>
            <w:shd w:val="clear" w:color="auto" w:fill="FAF6EF"/>
          </w:tcPr>
          <w:p>
            <w:pPr>
              <w:spacing w:after="0"/>
              <w:rPr>
                <w:sz w:val="6"/>
                <w:szCs w:val="6"/>
                <w:color w:val="auto"/>
              </w:rPr>
            </w:pPr>
          </w:p>
        </w:tc>
        <w:tc>
          <w:tcPr>
            <w:tcW w:w="320" w:type="dxa"/>
            <w:vAlign w:val="bottom"/>
            <w:shd w:val="clear" w:color="auto" w:fill="FAF6EF"/>
          </w:tcPr>
          <w:p>
            <w:pPr>
              <w:spacing w:after="0"/>
              <w:rPr>
                <w:sz w:val="6"/>
                <w:szCs w:val="6"/>
                <w:color w:val="auto"/>
              </w:rPr>
            </w:pPr>
          </w:p>
        </w:tc>
        <w:tc>
          <w:tcPr>
            <w:tcW w:w="3860" w:type="dxa"/>
            <w:vAlign w:val="bottom"/>
            <w:tcBorders>
              <w:right w:val="single" w:sz="8" w:color="FAF6EF"/>
            </w:tcBorders>
            <w:gridSpan w:val="2"/>
            <w:vMerge w:val="continue"/>
            <w:shd w:val="clear" w:color="auto" w:fill="FAF6EF"/>
          </w:tcPr>
          <w:p>
            <w:pPr>
              <w:spacing w:after="0"/>
              <w:rPr>
                <w:sz w:val="6"/>
                <w:szCs w:val="6"/>
                <w:color w:val="auto"/>
              </w:rPr>
            </w:pPr>
          </w:p>
        </w:tc>
        <w:tc>
          <w:tcPr>
            <w:tcW w:w="1500" w:type="dxa"/>
            <w:vAlign w:val="bottom"/>
            <w:tcBorders>
              <w:right w:val="single" w:sz="8" w:color="FAF6EF"/>
            </w:tcBorders>
            <w:shd w:val="clear" w:color="auto" w:fill="FAF6EF"/>
          </w:tcPr>
          <w:p>
            <w:pPr>
              <w:spacing w:after="0"/>
              <w:rPr>
                <w:sz w:val="6"/>
                <w:szCs w:val="6"/>
                <w:color w:val="auto"/>
              </w:rPr>
            </w:pPr>
          </w:p>
        </w:tc>
        <w:tc>
          <w:tcPr>
            <w:tcW w:w="2300" w:type="dxa"/>
            <w:vAlign w:val="bottom"/>
            <w:shd w:val="clear" w:color="auto" w:fill="FAF6EF"/>
          </w:tcPr>
          <w:p>
            <w:pPr>
              <w:spacing w:after="0"/>
              <w:rPr>
                <w:sz w:val="6"/>
                <w:szCs w:val="6"/>
                <w:color w:val="auto"/>
              </w:rPr>
            </w:pPr>
          </w:p>
        </w:tc>
        <w:tc>
          <w:tcPr>
            <w:tcW w:w="340" w:type="dxa"/>
            <w:vAlign w:val="bottom"/>
            <w:shd w:val="clear" w:color="auto" w:fill="FAF6EF"/>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340" w:type="dxa"/>
            <w:vAlign w:val="bottom"/>
            <w:shd w:val="clear" w:color="auto" w:fill="FAF6EF"/>
          </w:tcPr>
          <w:p>
            <w:pPr>
              <w:spacing w:after="0"/>
              <w:rPr>
                <w:sz w:val="13"/>
                <w:szCs w:val="13"/>
                <w:color w:val="auto"/>
              </w:rPr>
            </w:pPr>
          </w:p>
        </w:tc>
        <w:tc>
          <w:tcPr>
            <w:tcW w:w="2220" w:type="dxa"/>
            <w:vAlign w:val="bottom"/>
            <w:vMerge w:val="continue"/>
            <w:shd w:val="clear" w:color="auto" w:fill="FAF6EF"/>
          </w:tcPr>
          <w:p>
            <w:pPr>
              <w:spacing w:after="0"/>
              <w:rPr>
                <w:sz w:val="13"/>
                <w:szCs w:val="13"/>
                <w:color w:val="auto"/>
              </w:rPr>
            </w:pPr>
          </w:p>
        </w:tc>
        <w:tc>
          <w:tcPr>
            <w:tcW w:w="360" w:type="dxa"/>
            <w:vAlign w:val="bottom"/>
            <w:tcBorders>
              <w:right w:val="single" w:sz="8" w:color="439E58"/>
            </w:tcBorders>
            <w:shd w:val="clear" w:color="auto" w:fill="FAF6EF"/>
          </w:tcPr>
          <w:p>
            <w:pPr>
              <w:spacing w:after="0"/>
              <w:rPr>
                <w:sz w:val="13"/>
                <w:szCs w:val="13"/>
                <w:color w:val="auto"/>
              </w:rPr>
            </w:pPr>
          </w:p>
        </w:tc>
        <w:tc>
          <w:tcPr>
            <w:tcW w:w="320" w:type="dxa"/>
            <w:vAlign w:val="bottom"/>
            <w:shd w:val="clear" w:color="auto" w:fill="FAF6EF"/>
          </w:tcPr>
          <w:p>
            <w:pPr>
              <w:spacing w:after="0"/>
              <w:rPr>
                <w:sz w:val="13"/>
                <w:szCs w:val="13"/>
                <w:color w:val="auto"/>
              </w:rPr>
            </w:pPr>
          </w:p>
        </w:tc>
        <w:tc>
          <w:tcPr>
            <w:tcW w:w="5360" w:type="dxa"/>
            <w:vAlign w:val="bottom"/>
            <w:tcBorders>
              <w:right w:val="single" w:sz="8" w:color="FAF6EF"/>
            </w:tcBorders>
            <w:gridSpan w:val="3"/>
            <w:vMerge w:val="restart"/>
            <w:shd w:val="clear" w:color="auto" w:fill="FAF6EF"/>
          </w:tcPr>
          <w:p>
            <w:pPr>
              <w:spacing w:after="0"/>
              <w:rPr>
                <w:sz w:val="20"/>
                <w:szCs w:val="20"/>
                <w:color w:val="auto"/>
              </w:rPr>
            </w:pPr>
            <w:r>
              <w:rPr>
                <w:rFonts w:ascii="Arial" w:cs="Arial" w:eastAsia="Arial" w:hAnsi="Arial"/>
                <w:sz w:val="21"/>
                <w:szCs w:val="21"/>
                <w:b w:val="1"/>
                <w:bCs w:val="1"/>
                <w:color w:val="auto"/>
              </w:rPr>
              <w:t xml:space="preserve">The Board recommends a vote </w:t>
            </w:r>
            <w:r>
              <w:rPr>
                <w:rFonts w:ascii="Arial" w:cs="Arial" w:eastAsia="Arial" w:hAnsi="Arial"/>
                <w:sz w:val="21"/>
                <w:szCs w:val="21"/>
                <w:b w:val="1"/>
                <w:bCs w:val="1"/>
                <w:color w:val="E86100"/>
              </w:rPr>
              <w:t>FOR</w:t>
            </w:r>
            <w:r>
              <w:rPr>
                <w:rFonts w:ascii="Arial" w:cs="Arial" w:eastAsia="Arial" w:hAnsi="Arial"/>
                <w:sz w:val="21"/>
                <w:szCs w:val="21"/>
                <w:b w:val="1"/>
                <w:bCs w:val="1"/>
                <w:color w:val="auto"/>
              </w:rPr>
              <w:t xml:space="preserve"> each nominee</w:t>
            </w:r>
          </w:p>
        </w:tc>
        <w:tc>
          <w:tcPr>
            <w:tcW w:w="2300" w:type="dxa"/>
            <w:vAlign w:val="bottom"/>
            <w:shd w:val="clear" w:color="auto" w:fill="FAF6EF"/>
          </w:tcPr>
          <w:p>
            <w:pPr>
              <w:spacing w:after="0"/>
              <w:rPr>
                <w:sz w:val="13"/>
                <w:szCs w:val="13"/>
                <w:color w:val="auto"/>
              </w:rPr>
            </w:pPr>
          </w:p>
        </w:tc>
        <w:tc>
          <w:tcPr>
            <w:tcW w:w="340" w:type="dxa"/>
            <w:vAlign w:val="bottom"/>
            <w:shd w:val="clear" w:color="auto" w:fill="FAF6E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40" w:type="dxa"/>
            <w:vAlign w:val="bottom"/>
            <w:shd w:val="clear" w:color="auto" w:fill="FAF6EF"/>
          </w:tcPr>
          <w:p>
            <w:pPr>
              <w:spacing w:after="0"/>
              <w:rPr>
                <w:sz w:val="18"/>
                <w:szCs w:val="18"/>
                <w:color w:val="auto"/>
              </w:rPr>
            </w:pPr>
          </w:p>
        </w:tc>
        <w:tc>
          <w:tcPr>
            <w:tcW w:w="2220" w:type="dxa"/>
            <w:vAlign w:val="bottom"/>
            <w:shd w:val="clear" w:color="auto" w:fill="FAF6EF"/>
          </w:tcPr>
          <w:p>
            <w:pPr>
              <w:spacing w:after="0"/>
              <w:rPr>
                <w:sz w:val="18"/>
                <w:szCs w:val="18"/>
                <w:color w:val="auto"/>
              </w:rPr>
            </w:pPr>
          </w:p>
        </w:tc>
        <w:tc>
          <w:tcPr>
            <w:tcW w:w="360" w:type="dxa"/>
            <w:vAlign w:val="bottom"/>
            <w:tcBorders>
              <w:right w:val="single" w:sz="8" w:color="439E58"/>
            </w:tcBorders>
            <w:shd w:val="clear" w:color="auto" w:fill="FAF6EF"/>
          </w:tcPr>
          <w:p>
            <w:pPr>
              <w:spacing w:after="0"/>
              <w:rPr>
                <w:sz w:val="18"/>
                <w:szCs w:val="18"/>
                <w:color w:val="auto"/>
              </w:rPr>
            </w:pPr>
          </w:p>
        </w:tc>
        <w:tc>
          <w:tcPr>
            <w:tcW w:w="320" w:type="dxa"/>
            <w:vAlign w:val="bottom"/>
            <w:shd w:val="clear" w:color="auto" w:fill="FAF6EF"/>
          </w:tcPr>
          <w:p>
            <w:pPr>
              <w:spacing w:after="0"/>
              <w:rPr>
                <w:sz w:val="18"/>
                <w:szCs w:val="18"/>
                <w:color w:val="auto"/>
              </w:rPr>
            </w:pPr>
          </w:p>
        </w:tc>
        <w:tc>
          <w:tcPr>
            <w:tcW w:w="5360" w:type="dxa"/>
            <w:vAlign w:val="bottom"/>
            <w:tcBorders>
              <w:right w:val="single" w:sz="8" w:color="FAF6EF"/>
            </w:tcBorders>
            <w:gridSpan w:val="3"/>
            <w:vMerge w:val="continue"/>
            <w:shd w:val="clear" w:color="auto" w:fill="FAF6EF"/>
          </w:tcPr>
          <w:p>
            <w:pPr>
              <w:spacing w:after="0"/>
              <w:rPr>
                <w:sz w:val="18"/>
                <w:szCs w:val="18"/>
                <w:color w:val="auto"/>
              </w:rPr>
            </w:pPr>
          </w:p>
        </w:tc>
        <w:tc>
          <w:tcPr>
            <w:tcW w:w="2300" w:type="dxa"/>
            <w:vAlign w:val="bottom"/>
            <w:shd w:val="clear" w:color="auto" w:fill="FAF6EF"/>
          </w:tcPr>
          <w:p>
            <w:pPr>
              <w:spacing w:after="0"/>
              <w:rPr>
                <w:sz w:val="18"/>
                <w:szCs w:val="18"/>
                <w:color w:val="auto"/>
              </w:rPr>
            </w:pPr>
          </w:p>
        </w:tc>
        <w:tc>
          <w:tcPr>
            <w:tcW w:w="340" w:type="dxa"/>
            <w:vAlign w:val="bottom"/>
            <w:shd w:val="clear" w:color="auto" w:fill="FAF6E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shd w:val="clear" w:color="auto" w:fill="FAF6EF"/>
          </w:tcPr>
          <w:p>
            <w:pPr>
              <w:spacing w:after="0"/>
              <w:rPr>
                <w:sz w:val="21"/>
                <w:szCs w:val="21"/>
                <w:color w:val="auto"/>
              </w:rPr>
            </w:pPr>
          </w:p>
        </w:tc>
        <w:tc>
          <w:tcPr>
            <w:tcW w:w="2220" w:type="dxa"/>
            <w:vAlign w:val="bottom"/>
            <w:shd w:val="clear" w:color="auto" w:fill="FAF6EF"/>
          </w:tcPr>
          <w:p>
            <w:pPr>
              <w:spacing w:after="0"/>
              <w:rPr>
                <w:sz w:val="21"/>
                <w:szCs w:val="21"/>
                <w:color w:val="auto"/>
              </w:rPr>
            </w:pPr>
          </w:p>
        </w:tc>
        <w:tc>
          <w:tcPr>
            <w:tcW w:w="360" w:type="dxa"/>
            <w:vAlign w:val="bottom"/>
            <w:tcBorders>
              <w:right w:val="single" w:sz="8" w:color="439E58"/>
            </w:tcBorders>
            <w:shd w:val="clear" w:color="auto" w:fill="FAF6EF"/>
          </w:tcPr>
          <w:p>
            <w:pPr>
              <w:spacing w:after="0"/>
              <w:rPr>
                <w:sz w:val="21"/>
                <w:szCs w:val="21"/>
                <w:color w:val="auto"/>
              </w:rPr>
            </w:pPr>
          </w:p>
        </w:tc>
        <w:tc>
          <w:tcPr>
            <w:tcW w:w="320" w:type="dxa"/>
            <w:vAlign w:val="bottom"/>
            <w:shd w:val="clear" w:color="auto" w:fill="FAF6EF"/>
          </w:tcPr>
          <w:p>
            <w:pPr>
              <w:spacing w:after="0"/>
              <w:rPr>
                <w:sz w:val="21"/>
                <w:szCs w:val="21"/>
                <w:color w:val="auto"/>
              </w:rPr>
            </w:pPr>
          </w:p>
        </w:tc>
        <w:tc>
          <w:tcPr>
            <w:tcW w:w="2580" w:type="dxa"/>
            <w:vAlign w:val="bottom"/>
            <w:tcBorders>
              <w:right w:val="single" w:sz="8" w:color="FAF6EF"/>
            </w:tcBorders>
            <w:shd w:val="clear" w:color="auto" w:fill="FAF6EF"/>
          </w:tcPr>
          <w:p>
            <w:pPr>
              <w:spacing w:after="0"/>
              <w:rPr>
                <w:sz w:val="21"/>
                <w:szCs w:val="21"/>
                <w:color w:val="auto"/>
              </w:rPr>
            </w:pPr>
          </w:p>
        </w:tc>
        <w:tc>
          <w:tcPr>
            <w:tcW w:w="1280" w:type="dxa"/>
            <w:vAlign w:val="bottom"/>
            <w:tcBorders>
              <w:right w:val="single" w:sz="8" w:color="FAF6EF"/>
            </w:tcBorders>
            <w:shd w:val="clear" w:color="auto" w:fill="FAF6EF"/>
          </w:tcPr>
          <w:p>
            <w:pPr>
              <w:spacing w:after="0"/>
              <w:rPr>
                <w:sz w:val="21"/>
                <w:szCs w:val="21"/>
                <w:color w:val="auto"/>
              </w:rPr>
            </w:pPr>
          </w:p>
        </w:tc>
        <w:tc>
          <w:tcPr>
            <w:tcW w:w="1500" w:type="dxa"/>
            <w:vAlign w:val="bottom"/>
            <w:tcBorders>
              <w:right w:val="single" w:sz="8" w:color="FAF6EF"/>
            </w:tcBorders>
            <w:shd w:val="clear" w:color="auto" w:fill="FAF6EF"/>
          </w:tcPr>
          <w:p>
            <w:pPr>
              <w:spacing w:after="0"/>
              <w:rPr>
                <w:sz w:val="21"/>
                <w:szCs w:val="21"/>
                <w:color w:val="auto"/>
              </w:rPr>
            </w:pPr>
          </w:p>
        </w:tc>
        <w:tc>
          <w:tcPr>
            <w:tcW w:w="2300" w:type="dxa"/>
            <w:vAlign w:val="bottom"/>
            <w:shd w:val="clear" w:color="auto" w:fill="FAF6EF"/>
          </w:tcPr>
          <w:p>
            <w:pPr>
              <w:spacing w:after="0"/>
              <w:rPr>
                <w:sz w:val="21"/>
                <w:szCs w:val="21"/>
                <w:color w:val="auto"/>
              </w:rPr>
            </w:pPr>
          </w:p>
        </w:tc>
        <w:tc>
          <w:tcPr>
            <w:tcW w:w="340" w:type="dxa"/>
            <w:vAlign w:val="bottom"/>
            <w:shd w:val="clear" w:color="auto" w:fill="FAF6E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40" w:type="dxa"/>
            <w:vAlign w:val="bottom"/>
            <w:shd w:val="clear" w:color="auto" w:fill="FAF6EF"/>
          </w:tcPr>
          <w:p>
            <w:pPr>
              <w:spacing w:after="0"/>
              <w:rPr>
                <w:sz w:val="19"/>
                <w:szCs w:val="19"/>
                <w:color w:val="auto"/>
              </w:rPr>
            </w:pPr>
          </w:p>
        </w:tc>
        <w:tc>
          <w:tcPr>
            <w:tcW w:w="2220" w:type="dxa"/>
            <w:vAlign w:val="bottom"/>
            <w:shd w:val="clear" w:color="auto" w:fill="FAF6EF"/>
          </w:tcPr>
          <w:p>
            <w:pPr>
              <w:spacing w:after="0"/>
              <w:rPr>
                <w:sz w:val="19"/>
                <w:szCs w:val="19"/>
                <w:color w:val="auto"/>
              </w:rPr>
            </w:pPr>
          </w:p>
        </w:tc>
        <w:tc>
          <w:tcPr>
            <w:tcW w:w="360" w:type="dxa"/>
            <w:vAlign w:val="bottom"/>
            <w:tcBorders>
              <w:right w:val="single" w:sz="8" w:color="439E58"/>
            </w:tcBorders>
            <w:shd w:val="clear" w:color="auto" w:fill="FAF6EF"/>
          </w:tcPr>
          <w:p>
            <w:pPr>
              <w:spacing w:after="0"/>
              <w:rPr>
                <w:sz w:val="19"/>
                <w:szCs w:val="19"/>
                <w:color w:val="auto"/>
              </w:rPr>
            </w:pPr>
          </w:p>
        </w:tc>
        <w:tc>
          <w:tcPr>
            <w:tcW w:w="320" w:type="dxa"/>
            <w:vAlign w:val="bottom"/>
            <w:shd w:val="clear" w:color="auto" w:fill="FAF6EF"/>
          </w:tcPr>
          <w:p>
            <w:pPr>
              <w:spacing w:after="0"/>
              <w:rPr>
                <w:sz w:val="19"/>
                <w:szCs w:val="19"/>
                <w:color w:val="auto"/>
              </w:rPr>
            </w:pPr>
          </w:p>
        </w:tc>
        <w:tc>
          <w:tcPr>
            <w:tcW w:w="2580" w:type="dxa"/>
            <w:vAlign w:val="bottom"/>
            <w:tcBorders>
              <w:right w:val="single" w:sz="8" w:color="3C3C3C"/>
            </w:tcBorders>
            <w:shd w:val="clear" w:color="auto" w:fill="3C3C3C"/>
          </w:tcPr>
          <w:p>
            <w:pPr>
              <w:ind w:left="80"/>
              <w:spacing w:after="0"/>
              <w:rPr>
                <w:sz w:val="20"/>
                <w:szCs w:val="20"/>
                <w:color w:val="auto"/>
              </w:rPr>
            </w:pPr>
            <w:r>
              <w:rPr>
                <w:rFonts w:ascii="Arial" w:cs="Arial" w:eastAsia="Arial" w:hAnsi="Arial"/>
                <w:sz w:val="14"/>
                <w:szCs w:val="14"/>
                <w:b w:val="1"/>
                <w:bCs w:val="1"/>
                <w:color w:val="FFFFFF"/>
              </w:rPr>
              <w:t>Name</w:t>
            </w:r>
          </w:p>
        </w:tc>
        <w:tc>
          <w:tcPr>
            <w:tcW w:w="128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Independent</w:t>
            </w:r>
          </w:p>
        </w:tc>
        <w:tc>
          <w:tcPr>
            <w:tcW w:w="15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Director Since</w:t>
            </w:r>
          </w:p>
        </w:tc>
        <w:tc>
          <w:tcPr>
            <w:tcW w:w="230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Committees</w:t>
            </w:r>
          </w:p>
        </w:tc>
        <w:tc>
          <w:tcPr>
            <w:tcW w:w="340" w:type="dxa"/>
            <w:vAlign w:val="bottom"/>
            <w:shd w:val="clear" w:color="auto" w:fill="FAF6E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 w:type="dxa"/>
            <w:vAlign w:val="bottom"/>
            <w:shd w:val="clear" w:color="auto" w:fill="FAF6EF"/>
          </w:tcPr>
          <w:p>
            <w:pPr>
              <w:spacing w:after="0"/>
              <w:rPr>
                <w:sz w:val="19"/>
                <w:szCs w:val="19"/>
                <w:color w:val="auto"/>
              </w:rPr>
            </w:pPr>
          </w:p>
        </w:tc>
        <w:tc>
          <w:tcPr>
            <w:tcW w:w="2220" w:type="dxa"/>
            <w:vAlign w:val="bottom"/>
            <w:shd w:val="clear" w:color="auto" w:fill="FAF6EF"/>
          </w:tcPr>
          <w:p>
            <w:pPr>
              <w:spacing w:after="0"/>
              <w:rPr>
                <w:sz w:val="19"/>
                <w:szCs w:val="19"/>
                <w:color w:val="auto"/>
              </w:rPr>
            </w:pPr>
          </w:p>
        </w:tc>
        <w:tc>
          <w:tcPr>
            <w:tcW w:w="360" w:type="dxa"/>
            <w:vAlign w:val="bottom"/>
            <w:tcBorders>
              <w:right w:val="single" w:sz="8" w:color="439E58"/>
            </w:tcBorders>
            <w:shd w:val="clear" w:color="auto" w:fill="FAF6EF"/>
          </w:tcPr>
          <w:p>
            <w:pPr>
              <w:spacing w:after="0"/>
              <w:rPr>
                <w:sz w:val="19"/>
                <w:szCs w:val="19"/>
                <w:color w:val="auto"/>
              </w:rPr>
            </w:pPr>
          </w:p>
        </w:tc>
        <w:tc>
          <w:tcPr>
            <w:tcW w:w="320" w:type="dxa"/>
            <w:vAlign w:val="bottom"/>
            <w:shd w:val="clear" w:color="auto" w:fill="FAF6EF"/>
          </w:tcPr>
          <w:p>
            <w:pPr>
              <w:spacing w:after="0"/>
              <w:rPr>
                <w:sz w:val="19"/>
                <w:szCs w:val="19"/>
                <w:color w:val="auto"/>
              </w:rPr>
            </w:pPr>
          </w:p>
        </w:tc>
        <w:tc>
          <w:tcPr>
            <w:tcW w:w="2580" w:type="dxa"/>
            <w:vAlign w:val="bottom"/>
            <w:tcBorders>
              <w:right w:val="single" w:sz="8" w:color="auto"/>
            </w:tcBorders>
            <w:shd w:val="clear" w:color="auto" w:fill="FAF6EF"/>
          </w:tcPr>
          <w:p>
            <w:pPr>
              <w:ind w:left="80"/>
              <w:spacing w:after="0"/>
              <w:rPr>
                <w:sz w:val="20"/>
                <w:szCs w:val="20"/>
                <w:color w:val="auto"/>
              </w:rPr>
            </w:pPr>
            <w:r>
              <w:rPr>
                <w:rFonts w:ascii="Arial" w:cs="Arial" w:eastAsia="Arial" w:hAnsi="Arial"/>
                <w:sz w:val="16"/>
                <w:szCs w:val="16"/>
                <w:b w:val="1"/>
                <w:bCs w:val="1"/>
                <w:color w:val="auto"/>
              </w:rPr>
              <w:t>Badri Kothandaraman</w:t>
            </w:r>
          </w:p>
        </w:tc>
        <w:tc>
          <w:tcPr>
            <w:tcW w:w="1280" w:type="dxa"/>
            <w:vAlign w:val="bottom"/>
            <w:tcBorders>
              <w:right w:val="single" w:sz="8" w:color="auto"/>
            </w:tcBorders>
            <w:shd w:val="clear" w:color="auto" w:fill="FAF6EF"/>
          </w:tcPr>
          <w:p>
            <w:pPr>
              <w:jc w:val="center"/>
              <w:spacing w:after="0"/>
              <w:rPr>
                <w:sz w:val="20"/>
                <w:szCs w:val="20"/>
                <w:color w:val="auto"/>
              </w:rPr>
            </w:pPr>
            <w:r>
              <w:rPr>
                <w:rFonts w:ascii="Arial" w:cs="Arial" w:eastAsia="Arial" w:hAnsi="Arial"/>
                <w:sz w:val="16"/>
                <w:szCs w:val="16"/>
                <w:color w:val="auto"/>
                <w:w w:val="86"/>
              </w:rPr>
              <w:t>N</w:t>
            </w:r>
          </w:p>
        </w:tc>
        <w:tc>
          <w:tcPr>
            <w:tcW w:w="1500" w:type="dxa"/>
            <w:vAlign w:val="bottom"/>
            <w:tcBorders>
              <w:right w:val="single" w:sz="8" w:color="auto"/>
            </w:tcBorders>
            <w:shd w:val="clear" w:color="auto" w:fill="FAF6EF"/>
          </w:tcPr>
          <w:p>
            <w:pPr>
              <w:jc w:val="center"/>
              <w:spacing w:after="0"/>
              <w:rPr>
                <w:sz w:val="20"/>
                <w:szCs w:val="20"/>
                <w:color w:val="auto"/>
              </w:rPr>
            </w:pPr>
            <w:r>
              <w:rPr>
                <w:rFonts w:ascii="Arial" w:cs="Arial" w:eastAsia="Arial" w:hAnsi="Arial"/>
                <w:sz w:val="16"/>
                <w:szCs w:val="16"/>
                <w:color w:val="auto"/>
              </w:rPr>
              <w:t>2017</w:t>
            </w:r>
          </w:p>
        </w:tc>
        <w:tc>
          <w:tcPr>
            <w:tcW w:w="23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4"/>
              </w:rPr>
              <w:t>None</w:t>
            </w:r>
          </w:p>
        </w:tc>
        <w:tc>
          <w:tcPr>
            <w:tcW w:w="340" w:type="dxa"/>
            <w:vAlign w:val="bottom"/>
            <w:shd w:val="clear" w:color="auto" w:fill="FAF6E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 w:type="dxa"/>
            <w:vAlign w:val="bottom"/>
            <w:shd w:val="clear" w:color="auto" w:fill="FAF6EF"/>
          </w:tcPr>
          <w:p>
            <w:pPr>
              <w:spacing w:after="0"/>
              <w:rPr>
                <w:sz w:val="21"/>
                <w:szCs w:val="21"/>
                <w:color w:val="auto"/>
              </w:rPr>
            </w:pPr>
          </w:p>
        </w:tc>
        <w:tc>
          <w:tcPr>
            <w:tcW w:w="2220" w:type="dxa"/>
            <w:vAlign w:val="bottom"/>
            <w:shd w:val="clear" w:color="auto" w:fill="FAF6EF"/>
          </w:tcPr>
          <w:p>
            <w:pPr>
              <w:spacing w:after="0"/>
              <w:rPr>
                <w:sz w:val="21"/>
                <w:szCs w:val="21"/>
                <w:color w:val="auto"/>
              </w:rPr>
            </w:pPr>
          </w:p>
        </w:tc>
        <w:tc>
          <w:tcPr>
            <w:tcW w:w="360" w:type="dxa"/>
            <w:vAlign w:val="bottom"/>
            <w:tcBorders>
              <w:right w:val="single" w:sz="8" w:color="439E58"/>
            </w:tcBorders>
            <w:shd w:val="clear" w:color="auto" w:fill="FAF6EF"/>
          </w:tcPr>
          <w:p>
            <w:pPr>
              <w:spacing w:after="0"/>
              <w:rPr>
                <w:sz w:val="21"/>
                <w:szCs w:val="21"/>
                <w:color w:val="auto"/>
              </w:rPr>
            </w:pPr>
          </w:p>
        </w:tc>
        <w:tc>
          <w:tcPr>
            <w:tcW w:w="320" w:type="dxa"/>
            <w:vAlign w:val="bottom"/>
            <w:shd w:val="clear" w:color="auto" w:fill="FAF6EF"/>
          </w:tcPr>
          <w:p>
            <w:pPr>
              <w:spacing w:after="0"/>
              <w:rPr>
                <w:sz w:val="21"/>
                <w:szCs w:val="21"/>
                <w:color w:val="auto"/>
              </w:rPr>
            </w:pPr>
          </w:p>
        </w:tc>
        <w:tc>
          <w:tcPr>
            <w:tcW w:w="2580" w:type="dxa"/>
            <w:vAlign w:val="bottom"/>
            <w:tcBorders>
              <w:right w:val="single" w:sz="8" w:color="auto"/>
            </w:tcBorders>
            <w:shd w:val="clear" w:color="auto" w:fill="FAF6EF"/>
          </w:tcPr>
          <w:p>
            <w:pPr>
              <w:ind w:left="80"/>
              <w:spacing w:after="0"/>
              <w:rPr>
                <w:sz w:val="20"/>
                <w:szCs w:val="20"/>
                <w:color w:val="auto"/>
              </w:rPr>
            </w:pPr>
            <w:r>
              <w:rPr>
                <w:rFonts w:ascii="Arial" w:cs="Arial" w:eastAsia="Arial" w:hAnsi="Arial"/>
                <w:sz w:val="16"/>
                <w:szCs w:val="16"/>
                <w:b w:val="1"/>
                <w:bCs w:val="1"/>
                <w:color w:val="auto"/>
              </w:rPr>
              <w:t>Joseph Malchow</w:t>
            </w:r>
          </w:p>
        </w:tc>
        <w:tc>
          <w:tcPr>
            <w:tcW w:w="1280" w:type="dxa"/>
            <w:vAlign w:val="bottom"/>
            <w:tcBorders>
              <w:right w:val="single" w:sz="8" w:color="auto"/>
            </w:tcBorders>
            <w:shd w:val="clear" w:color="auto" w:fill="FAF6EF"/>
          </w:tcPr>
          <w:p>
            <w:pPr>
              <w:jc w:val="center"/>
              <w:spacing w:after="0"/>
              <w:rPr>
                <w:sz w:val="20"/>
                <w:szCs w:val="20"/>
                <w:color w:val="auto"/>
              </w:rPr>
            </w:pPr>
            <w:r>
              <w:rPr>
                <w:rFonts w:ascii="Arial" w:cs="Arial" w:eastAsia="Arial" w:hAnsi="Arial"/>
                <w:sz w:val="16"/>
                <w:szCs w:val="16"/>
                <w:color w:val="auto"/>
                <w:w w:val="86"/>
              </w:rPr>
              <w:t>N</w:t>
            </w:r>
          </w:p>
        </w:tc>
        <w:tc>
          <w:tcPr>
            <w:tcW w:w="1500" w:type="dxa"/>
            <w:vAlign w:val="bottom"/>
            <w:tcBorders>
              <w:right w:val="single" w:sz="8" w:color="auto"/>
            </w:tcBorders>
            <w:shd w:val="clear" w:color="auto" w:fill="FAF6EF"/>
          </w:tcPr>
          <w:p>
            <w:pPr>
              <w:jc w:val="center"/>
              <w:spacing w:after="0"/>
              <w:rPr>
                <w:sz w:val="20"/>
                <w:szCs w:val="20"/>
                <w:color w:val="auto"/>
              </w:rPr>
            </w:pPr>
            <w:r>
              <w:rPr>
                <w:rFonts w:ascii="Arial" w:cs="Arial" w:eastAsia="Arial" w:hAnsi="Arial"/>
                <w:sz w:val="16"/>
                <w:szCs w:val="16"/>
                <w:color w:val="auto"/>
              </w:rPr>
              <w:t>2020</w:t>
            </w:r>
          </w:p>
        </w:tc>
        <w:tc>
          <w:tcPr>
            <w:tcW w:w="23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4"/>
              </w:rPr>
              <w:t>None</w:t>
            </w:r>
          </w:p>
        </w:tc>
        <w:tc>
          <w:tcPr>
            <w:tcW w:w="340" w:type="dxa"/>
            <w:vAlign w:val="bottom"/>
            <w:shd w:val="clear" w:color="auto" w:fill="FAF6E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40" w:type="dxa"/>
            <w:vAlign w:val="bottom"/>
            <w:shd w:val="clear" w:color="auto" w:fill="FAF6EF"/>
          </w:tcPr>
          <w:p>
            <w:pPr>
              <w:spacing w:after="0"/>
              <w:rPr>
                <w:sz w:val="21"/>
                <w:szCs w:val="21"/>
                <w:color w:val="auto"/>
              </w:rPr>
            </w:pPr>
          </w:p>
        </w:tc>
        <w:tc>
          <w:tcPr>
            <w:tcW w:w="2220" w:type="dxa"/>
            <w:vAlign w:val="bottom"/>
            <w:shd w:val="clear" w:color="auto" w:fill="FAF6EF"/>
          </w:tcPr>
          <w:p>
            <w:pPr>
              <w:spacing w:after="0"/>
              <w:rPr>
                <w:sz w:val="21"/>
                <w:szCs w:val="21"/>
                <w:color w:val="auto"/>
              </w:rPr>
            </w:pPr>
          </w:p>
        </w:tc>
        <w:tc>
          <w:tcPr>
            <w:tcW w:w="360" w:type="dxa"/>
            <w:vAlign w:val="bottom"/>
            <w:tcBorders>
              <w:right w:val="single" w:sz="8" w:color="FAF6EF"/>
            </w:tcBorders>
            <w:shd w:val="clear" w:color="auto" w:fill="FAF6EF"/>
          </w:tcPr>
          <w:p>
            <w:pPr>
              <w:spacing w:after="0"/>
              <w:rPr>
                <w:sz w:val="21"/>
                <w:szCs w:val="21"/>
                <w:color w:val="auto"/>
              </w:rPr>
            </w:pPr>
          </w:p>
        </w:tc>
        <w:tc>
          <w:tcPr>
            <w:tcW w:w="320" w:type="dxa"/>
            <w:vAlign w:val="bottom"/>
            <w:shd w:val="clear" w:color="auto" w:fill="FAF6EF"/>
          </w:tcPr>
          <w:p>
            <w:pPr>
              <w:spacing w:after="0"/>
              <w:rPr>
                <w:sz w:val="21"/>
                <w:szCs w:val="21"/>
                <w:color w:val="auto"/>
              </w:rPr>
            </w:pPr>
          </w:p>
        </w:tc>
        <w:tc>
          <w:tcPr>
            <w:tcW w:w="2580" w:type="dxa"/>
            <w:vAlign w:val="bottom"/>
            <w:tcBorders>
              <w:right w:val="single" w:sz="8" w:color="FAF6EF"/>
            </w:tcBorders>
            <w:shd w:val="clear" w:color="auto" w:fill="FAF6EF"/>
          </w:tcPr>
          <w:p>
            <w:pPr>
              <w:spacing w:after="0"/>
              <w:rPr>
                <w:sz w:val="21"/>
                <w:szCs w:val="21"/>
                <w:color w:val="auto"/>
              </w:rPr>
            </w:pPr>
          </w:p>
        </w:tc>
        <w:tc>
          <w:tcPr>
            <w:tcW w:w="1280" w:type="dxa"/>
            <w:vAlign w:val="bottom"/>
            <w:tcBorders>
              <w:right w:val="single" w:sz="8" w:color="FAF6EF"/>
            </w:tcBorders>
            <w:shd w:val="clear" w:color="auto" w:fill="FAF6EF"/>
          </w:tcPr>
          <w:p>
            <w:pPr>
              <w:spacing w:after="0"/>
              <w:rPr>
                <w:sz w:val="21"/>
                <w:szCs w:val="21"/>
                <w:color w:val="auto"/>
              </w:rPr>
            </w:pPr>
          </w:p>
        </w:tc>
        <w:tc>
          <w:tcPr>
            <w:tcW w:w="1500" w:type="dxa"/>
            <w:vAlign w:val="bottom"/>
            <w:tcBorders>
              <w:right w:val="single" w:sz="8" w:color="FAF6EF"/>
            </w:tcBorders>
            <w:shd w:val="clear" w:color="auto" w:fill="FAF6EF"/>
          </w:tcPr>
          <w:p>
            <w:pPr>
              <w:spacing w:after="0"/>
              <w:rPr>
                <w:sz w:val="21"/>
                <w:szCs w:val="21"/>
                <w:color w:val="auto"/>
              </w:rPr>
            </w:pPr>
          </w:p>
        </w:tc>
        <w:tc>
          <w:tcPr>
            <w:tcW w:w="2300" w:type="dxa"/>
            <w:vAlign w:val="bottom"/>
            <w:shd w:val="clear" w:color="auto" w:fill="FAF6EF"/>
          </w:tcPr>
          <w:p>
            <w:pPr>
              <w:spacing w:after="0"/>
              <w:rPr>
                <w:sz w:val="21"/>
                <w:szCs w:val="21"/>
                <w:color w:val="auto"/>
              </w:rPr>
            </w:pPr>
          </w:p>
        </w:tc>
        <w:tc>
          <w:tcPr>
            <w:tcW w:w="340" w:type="dxa"/>
            <w:vAlign w:val="bottom"/>
            <w:shd w:val="clear" w:color="auto" w:fill="FAF6EF"/>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340" w:type="dxa"/>
            <w:vAlign w:val="bottom"/>
            <w:shd w:val="clear" w:color="auto" w:fill="FAF6EF"/>
          </w:tcPr>
          <w:p>
            <w:pPr>
              <w:spacing w:after="0"/>
              <w:rPr>
                <w:sz w:val="21"/>
                <w:szCs w:val="21"/>
                <w:color w:val="auto"/>
              </w:rPr>
            </w:pPr>
          </w:p>
        </w:tc>
        <w:tc>
          <w:tcPr>
            <w:tcW w:w="2220" w:type="dxa"/>
            <w:vAlign w:val="bottom"/>
            <w:shd w:val="clear" w:color="auto" w:fill="FAF6EF"/>
          </w:tcPr>
          <w:p>
            <w:pPr>
              <w:spacing w:after="0"/>
              <w:rPr>
                <w:sz w:val="21"/>
                <w:szCs w:val="21"/>
                <w:color w:val="auto"/>
              </w:rPr>
            </w:pPr>
          </w:p>
        </w:tc>
        <w:tc>
          <w:tcPr>
            <w:tcW w:w="360" w:type="dxa"/>
            <w:vAlign w:val="bottom"/>
            <w:tcBorders>
              <w:right w:val="single" w:sz="8" w:color="FAF6EF"/>
            </w:tcBorders>
            <w:shd w:val="clear" w:color="auto" w:fill="FAF6EF"/>
          </w:tcPr>
          <w:p>
            <w:pPr>
              <w:spacing w:after="0"/>
              <w:rPr>
                <w:sz w:val="21"/>
                <w:szCs w:val="21"/>
                <w:color w:val="auto"/>
              </w:rPr>
            </w:pPr>
          </w:p>
        </w:tc>
        <w:tc>
          <w:tcPr>
            <w:tcW w:w="320" w:type="dxa"/>
            <w:vAlign w:val="bottom"/>
            <w:shd w:val="clear" w:color="auto" w:fill="FAF6EF"/>
          </w:tcPr>
          <w:p>
            <w:pPr>
              <w:spacing w:after="0"/>
              <w:rPr>
                <w:sz w:val="21"/>
                <w:szCs w:val="21"/>
                <w:color w:val="auto"/>
              </w:rPr>
            </w:pPr>
          </w:p>
        </w:tc>
        <w:tc>
          <w:tcPr>
            <w:tcW w:w="2580" w:type="dxa"/>
            <w:vAlign w:val="bottom"/>
            <w:tcBorders>
              <w:right w:val="single" w:sz="8" w:color="FAF6EF"/>
            </w:tcBorders>
            <w:shd w:val="clear" w:color="auto" w:fill="FAF6EF"/>
          </w:tcPr>
          <w:p>
            <w:pPr>
              <w:spacing w:after="0"/>
              <w:rPr>
                <w:sz w:val="21"/>
                <w:szCs w:val="21"/>
                <w:color w:val="auto"/>
              </w:rPr>
            </w:pPr>
          </w:p>
        </w:tc>
        <w:tc>
          <w:tcPr>
            <w:tcW w:w="1280" w:type="dxa"/>
            <w:vAlign w:val="bottom"/>
            <w:tcBorders>
              <w:right w:val="single" w:sz="8" w:color="FAF6EF"/>
            </w:tcBorders>
            <w:shd w:val="clear" w:color="auto" w:fill="FAF6EF"/>
          </w:tcPr>
          <w:p>
            <w:pPr>
              <w:spacing w:after="0"/>
              <w:rPr>
                <w:sz w:val="21"/>
                <w:szCs w:val="21"/>
                <w:color w:val="auto"/>
              </w:rPr>
            </w:pPr>
          </w:p>
        </w:tc>
        <w:tc>
          <w:tcPr>
            <w:tcW w:w="1500" w:type="dxa"/>
            <w:vAlign w:val="bottom"/>
            <w:tcBorders>
              <w:right w:val="single" w:sz="8" w:color="FAF6EF"/>
            </w:tcBorders>
            <w:shd w:val="clear" w:color="auto" w:fill="FAF6EF"/>
          </w:tcPr>
          <w:p>
            <w:pPr>
              <w:spacing w:after="0"/>
              <w:rPr>
                <w:sz w:val="21"/>
                <w:szCs w:val="21"/>
                <w:color w:val="auto"/>
              </w:rPr>
            </w:pPr>
          </w:p>
        </w:tc>
        <w:tc>
          <w:tcPr>
            <w:tcW w:w="2300" w:type="dxa"/>
            <w:vAlign w:val="bottom"/>
            <w:shd w:val="clear" w:color="auto" w:fill="FAF6EF"/>
          </w:tcPr>
          <w:p>
            <w:pPr>
              <w:spacing w:after="0"/>
              <w:rPr>
                <w:sz w:val="21"/>
                <w:szCs w:val="21"/>
                <w:color w:val="auto"/>
              </w:rPr>
            </w:pPr>
          </w:p>
        </w:tc>
        <w:tc>
          <w:tcPr>
            <w:tcW w:w="340" w:type="dxa"/>
            <w:vAlign w:val="bottom"/>
            <w:shd w:val="clear" w:color="auto" w:fill="FAF6E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136765" cy="1725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172593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p>
      <w:pPr>
        <w:ind w:left="340"/>
        <w:spacing w:after="0"/>
        <w:rPr>
          <w:sz w:val="20"/>
          <w:szCs w:val="20"/>
          <w:color w:val="auto"/>
        </w:rPr>
      </w:pPr>
      <w:r>
        <w:rPr>
          <w:rFonts w:ascii="Arial" w:cs="Arial" w:eastAsia="Arial" w:hAnsi="Arial"/>
          <w:sz w:val="31"/>
          <w:szCs w:val="31"/>
          <w:b w:val="1"/>
          <w:bCs w:val="1"/>
          <w:color w:val="F45270"/>
        </w:rPr>
        <w:t>Proposal 2</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page 62</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960"/>
        <w:spacing w:after="0" w:line="357" w:lineRule="auto"/>
        <w:rPr>
          <w:sz w:val="20"/>
          <w:szCs w:val="20"/>
          <w:color w:val="auto"/>
        </w:rPr>
      </w:pPr>
      <w:r>
        <w:rPr>
          <w:rFonts w:ascii="Arial" w:cs="Arial" w:eastAsia="Arial" w:hAnsi="Arial"/>
          <w:sz w:val="21"/>
          <w:szCs w:val="21"/>
          <w:b w:val="1"/>
          <w:bCs w:val="1"/>
          <w:color w:val="auto"/>
        </w:rPr>
        <w:t xml:space="preserve">Say-on-Pay: Advisory vote on Named Executive Officer Compensation The Board recommends a vote </w:t>
      </w:r>
      <w:r>
        <w:rPr>
          <w:rFonts w:ascii="Arial" w:cs="Arial" w:eastAsia="Arial" w:hAnsi="Arial"/>
          <w:sz w:val="21"/>
          <w:szCs w:val="21"/>
          <w:b w:val="1"/>
          <w:bCs w:val="1"/>
          <w:color w:val="E86100"/>
        </w:rPr>
        <w:t>FOR</w:t>
      </w:r>
      <w:r>
        <w:rPr>
          <w:rFonts w:ascii="Arial" w:cs="Arial" w:eastAsia="Arial" w:hAnsi="Arial"/>
          <w:sz w:val="21"/>
          <w:szCs w:val="21"/>
          <w:b w:val="1"/>
          <w:bCs w:val="1"/>
          <w:color w:val="auto"/>
        </w:rPr>
        <w:t xml:space="preserve"> Proposal 2</w:t>
      </w:r>
    </w:p>
    <w:p>
      <w:pPr>
        <w:spacing w:after="0" w:line="1" w:lineRule="exact"/>
        <w:rPr>
          <w:sz w:val="20"/>
          <w:szCs w:val="20"/>
          <w:color w:val="auto"/>
        </w:rPr>
      </w:pPr>
    </w:p>
    <w:p>
      <w:pPr>
        <w:ind w:left="300" w:right="400" w:hanging="147"/>
        <w:spacing w:after="0" w:line="318" w:lineRule="auto"/>
        <w:tabs>
          <w:tab w:leader="none" w:pos="277" w:val="left"/>
        </w:tabs>
        <w:numPr>
          <w:ilvl w:val="0"/>
          <w:numId w:val="16"/>
        </w:numPr>
        <w:rPr>
          <w:rFonts w:ascii="Arial" w:cs="Arial" w:eastAsia="Arial" w:hAnsi="Arial"/>
          <w:sz w:val="12"/>
          <w:szCs w:val="12"/>
          <w:color w:val="auto"/>
        </w:rPr>
      </w:pPr>
      <w:r>
        <w:rPr>
          <w:rFonts w:ascii="Arial" w:cs="Arial" w:eastAsia="Arial" w:hAnsi="Arial"/>
          <w:sz w:val="16"/>
          <w:szCs w:val="16"/>
          <w:color w:val="auto"/>
        </w:rPr>
        <w:t>We employ core compensation principles and practices to promote pay for performance and alignment of executive and stockholder interests</w:t>
      </w:r>
    </w:p>
    <w:p>
      <w:pPr>
        <w:spacing w:after="0" w:line="9" w:lineRule="exact"/>
        <w:rPr>
          <w:rFonts w:ascii="Arial" w:cs="Arial" w:eastAsia="Arial" w:hAnsi="Arial"/>
          <w:sz w:val="12"/>
          <w:szCs w:val="12"/>
          <w:color w:val="auto"/>
        </w:rPr>
      </w:pPr>
    </w:p>
    <w:p>
      <w:pPr>
        <w:ind w:left="300" w:right="600" w:hanging="147"/>
        <w:spacing w:after="0" w:line="318" w:lineRule="auto"/>
        <w:tabs>
          <w:tab w:leader="none" w:pos="277" w:val="left"/>
        </w:tabs>
        <w:numPr>
          <w:ilvl w:val="0"/>
          <w:numId w:val="16"/>
        </w:numPr>
        <w:rPr>
          <w:rFonts w:ascii="Arial" w:cs="Arial" w:eastAsia="Arial" w:hAnsi="Arial"/>
          <w:sz w:val="12"/>
          <w:szCs w:val="12"/>
          <w:color w:val="auto"/>
        </w:rPr>
      </w:pPr>
      <w:r>
        <w:rPr>
          <w:rFonts w:ascii="Arial" w:cs="Arial" w:eastAsia="Arial" w:hAnsi="Arial"/>
          <w:sz w:val="16"/>
          <w:szCs w:val="16"/>
          <w:color w:val="auto"/>
        </w:rPr>
        <w:t>Our overall 2023 executive compensation was reasonable and appropriate in light of our business and financial performance</w:t>
      </w:r>
    </w:p>
    <w:p>
      <w:pPr>
        <w:spacing w:after="0" w:line="9" w:lineRule="exact"/>
        <w:rPr>
          <w:rFonts w:ascii="Arial" w:cs="Arial" w:eastAsia="Arial" w:hAnsi="Arial"/>
          <w:sz w:val="12"/>
          <w:szCs w:val="12"/>
          <w:color w:val="auto"/>
        </w:rPr>
      </w:pPr>
    </w:p>
    <w:p>
      <w:pPr>
        <w:ind w:left="280" w:hanging="127"/>
        <w:spacing w:after="0"/>
        <w:tabs>
          <w:tab w:leader="none" w:pos="280" w:val="left"/>
        </w:tabs>
        <w:numPr>
          <w:ilvl w:val="0"/>
          <w:numId w:val="16"/>
        </w:numPr>
        <w:rPr>
          <w:rFonts w:ascii="Arial" w:cs="Arial" w:eastAsia="Arial" w:hAnsi="Arial"/>
          <w:sz w:val="12"/>
          <w:szCs w:val="12"/>
          <w:color w:val="auto"/>
        </w:rPr>
      </w:pPr>
      <w:r>
        <w:rPr>
          <w:rFonts w:ascii="Arial" w:cs="Arial" w:eastAsia="Arial" w:hAnsi="Arial"/>
          <w:sz w:val="16"/>
          <w:szCs w:val="16"/>
          <w:color w:val="auto"/>
        </w:rPr>
        <w:t>We redesigned the 2023 compensation program based on investor feedback</w:t>
      </w:r>
    </w:p>
    <w:p>
      <w:pPr>
        <w:spacing w:after="0" w:line="200" w:lineRule="exact"/>
        <w:rPr>
          <w:sz w:val="20"/>
          <w:szCs w:val="20"/>
          <w:color w:val="auto"/>
        </w:rPr>
      </w:pPr>
    </w:p>
    <w:p>
      <w:pPr>
        <w:sectPr>
          <w:pgSz w:w="11900" w:h="16838" w:orient="portrait"/>
          <w:cols w:equalWidth="0" w:num="2">
            <w:col w:w="2560" w:space="720"/>
            <w:col w:w="7960"/>
          </w:cols>
          <w:pgMar w:left="320" w:top="1000" w:right="339" w:bottom="1440" w:gutter="0" w:footer="0" w:header="0"/>
          <w:type w:val="continuous"/>
        </w:sect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 w:type="dxa"/>
            <w:vAlign w:val="bottom"/>
            <w:shd w:val="clear" w:color="auto" w:fill="FAF6EF"/>
          </w:tcPr>
          <w:p>
            <w:pPr>
              <w:spacing w:after="0"/>
              <w:rPr>
                <w:sz w:val="21"/>
                <w:szCs w:val="21"/>
                <w:color w:val="auto"/>
              </w:rPr>
            </w:pPr>
          </w:p>
        </w:tc>
        <w:tc>
          <w:tcPr>
            <w:tcW w:w="2240" w:type="dxa"/>
            <w:vAlign w:val="bottom"/>
            <w:vMerge w:val="restart"/>
            <w:shd w:val="clear" w:color="auto" w:fill="FAF6EF"/>
          </w:tcPr>
          <w:p>
            <w:pPr>
              <w:spacing w:after="0"/>
              <w:rPr>
                <w:sz w:val="20"/>
                <w:szCs w:val="20"/>
                <w:color w:val="auto"/>
              </w:rPr>
            </w:pPr>
            <w:r>
              <w:rPr>
                <w:rFonts w:ascii="Arial" w:cs="Arial" w:eastAsia="Arial" w:hAnsi="Arial"/>
                <w:sz w:val="31"/>
                <w:szCs w:val="31"/>
                <w:b w:val="1"/>
                <w:bCs w:val="1"/>
                <w:color w:val="2C436F"/>
              </w:rPr>
              <w:t>Proposal 3</w:t>
            </w:r>
          </w:p>
        </w:tc>
        <w:tc>
          <w:tcPr>
            <w:tcW w:w="360" w:type="dxa"/>
            <w:vAlign w:val="bottom"/>
            <w:tcBorders>
              <w:right w:val="single" w:sz="8" w:color="FAF6EF"/>
            </w:tcBorders>
            <w:shd w:val="clear" w:color="auto" w:fill="FAF6EF"/>
          </w:tcPr>
          <w:p>
            <w:pPr>
              <w:spacing w:after="0"/>
              <w:rPr>
                <w:sz w:val="21"/>
                <w:szCs w:val="21"/>
                <w:color w:val="auto"/>
              </w:rPr>
            </w:pPr>
          </w:p>
        </w:tc>
        <w:tc>
          <w:tcPr>
            <w:tcW w:w="8300" w:type="dxa"/>
            <w:vAlign w:val="bottom"/>
            <w:gridSpan w:val="2"/>
            <w:vMerge w:val="restart"/>
            <w:shd w:val="clear" w:color="auto" w:fill="FAF6EF"/>
          </w:tcPr>
          <w:p>
            <w:pPr>
              <w:ind w:left="340"/>
              <w:spacing w:after="0"/>
              <w:rPr>
                <w:sz w:val="20"/>
                <w:szCs w:val="20"/>
                <w:color w:val="auto"/>
              </w:rPr>
            </w:pPr>
            <w:r>
              <w:rPr>
                <w:rFonts w:ascii="Arial" w:cs="Arial" w:eastAsia="Arial" w:hAnsi="Arial"/>
                <w:sz w:val="21"/>
                <w:szCs w:val="21"/>
                <w:b w:val="1"/>
                <w:bCs w:val="1"/>
                <w:color w:val="auto"/>
              </w:rPr>
              <w:t>Advisory vote on the Frequency of Stockholder Advisory Votes on Executive</w:t>
            </w:r>
          </w:p>
        </w:tc>
        <w:tc>
          <w:tcPr>
            <w:tcW w:w="0" w:type="dxa"/>
            <w:vAlign w:val="bottom"/>
          </w:tcPr>
          <w:p>
            <w:pPr>
              <w:spacing w:after="0"/>
              <w:rPr>
                <w:sz w:val="1"/>
                <w:szCs w:val="1"/>
                <w:color w:val="auto"/>
              </w:rPr>
            </w:pPr>
          </w:p>
        </w:tc>
      </w:tr>
      <w:tr>
        <w:trPr>
          <w:trHeight w:val="470"/>
        </w:trPr>
        <w:tc>
          <w:tcPr>
            <w:tcW w:w="340" w:type="dxa"/>
            <w:vAlign w:val="bottom"/>
            <w:shd w:val="clear" w:color="auto" w:fill="FAF6EF"/>
          </w:tcPr>
          <w:p>
            <w:pPr>
              <w:spacing w:after="0"/>
              <w:rPr>
                <w:sz w:val="24"/>
                <w:szCs w:val="24"/>
                <w:color w:val="auto"/>
              </w:rPr>
            </w:pPr>
          </w:p>
        </w:tc>
        <w:tc>
          <w:tcPr>
            <w:tcW w:w="2240" w:type="dxa"/>
            <w:vAlign w:val="bottom"/>
            <w:vMerge w:val="continue"/>
            <w:shd w:val="clear" w:color="auto" w:fill="FAF6EF"/>
          </w:tcPr>
          <w:p>
            <w:pPr>
              <w:spacing w:after="0"/>
              <w:rPr>
                <w:sz w:val="24"/>
                <w:szCs w:val="24"/>
                <w:color w:val="auto"/>
              </w:rPr>
            </w:pPr>
          </w:p>
        </w:tc>
        <w:tc>
          <w:tcPr>
            <w:tcW w:w="360" w:type="dxa"/>
            <w:vAlign w:val="bottom"/>
            <w:tcBorders>
              <w:right w:val="single" w:sz="8" w:color="2C436F"/>
            </w:tcBorders>
            <w:shd w:val="clear" w:color="auto" w:fill="FAF6EF"/>
          </w:tcPr>
          <w:p>
            <w:pPr>
              <w:spacing w:after="0"/>
              <w:rPr>
                <w:sz w:val="24"/>
                <w:szCs w:val="24"/>
                <w:color w:val="auto"/>
              </w:rPr>
            </w:pPr>
          </w:p>
        </w:tc>
        <w:tc>
          <w:tcPr>
            <w:tcW w:w="8300" w:type="dxa"/>
            <w:vAlign w:val="bottom"/>
            <w:gridSpan w:val="2"/>
            <w:vMerge w:val="continue"/>
            <w:shd w:val="clear" w:color="auto" w:fill="FAF6EF"/>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40" w:type="dxa"/>
            <w:vAlign w:val="bottom"/>
            <w:shd w:val="clear" w:color="auto" w:fill="FAF6EF"/>
          </w:tcPr>
          <w:p>
            <w:pPr>
              <w:spacing w:after="0"/>
              <w:rPr>
                <w:sz w:val="24"/>
                <w:szCs w:val="24"/>
                <w:color w:val="auto"/>
              </w:rPr>
            </w:pPr>
          </w:p>
        </w:tc>
        <w:tc>
          <w:tcPr>
            <w:tcW w:w="2240" w:type="dxa"/>
            <w:vAlign w:val="bottom"/>
            <w:shd w:val="clear" w:color="auto" w:fill="FAF6EF"/>
          </w:tcPr>
          <w:p>
            <w:pPr>
              <w:spacing w:after="0"/>
              <w:rPr>
                <w:sz w:val="20"/>
                <w:szCs w:val="20"/>
                <w:color w:val="auto"/>
              </w:rPr>
            </w:pPr>
            <w:r>
              <w:rPr>
                <w:rFonts w:ascii="Arial" w:cs="Arial" w:eastAsia="Arial" w:hAnsi="Arial"/>
                <w:sz w:val="16"/>
                <w:szCs w:val="16"/>
                <w:color w:val="auto"/>
              </w:rPr>
              <w:t>See page 63</w:t>
            </w:r>
          </w:p>
        </w:tc>
        <w:tc>
          <w:tcPr>
            <w:tcW w:w="360" w:type="dxa"/>
            <w:vAlign w:val="bottom"/>
            <w:tcBorders>
              <w:right w:val="single" w:sz="8" w:color="2C436F"/>
            </w:tcBorders>
            <w:shd w:val="clear" w:color="auto" w:fill="FAF6EF"/>
          </w:tcPr>
          <w:p>
            <w:pPr>
              <w:spacing w:after="0"/>
              <w:rPr>
                <w:sz w:val="24"/>
                <w:szCs w:val="24"/>
                <w:color w:val="auto"/>
              </w:rPr>
            </w:pPr>
          </w:p>
        </w:tc>
        <w:tc>
          <w:tcPr>
            <w:tcW w:w="8300" w:type="dxa"/>
            <w:vAlign w:val="bottom"/>
            <w:gridSpan w:val="2"/>
            <w:shd w:val="clear" w:color="auto" w:fill="FAF6EF"/>
          </w:tcPr>
          <w:p>
            <w:pPr>
              <w:ind w:left="340"/>
              <w:spacing w:after="0"/>
              <w:rPr>
                <w:sz w:val="20"/>
                <w:szCs w:val="20"/>
                <w:color w:val="auto"/>
              </w:rPr>
            </w:pPr>
            <w:r>
              <w:rPr>
                <w:rFonts w:ascii="Arial" w:cs="Arial" w:eastAsia="Arial" w:hAnsi="Arial"/>
                <w:sz w:val="21"/>
                <w:szCs w:val="21"/>
                <w:b w:val="1"/>
                <w:bCs w:val="1"/>
                <w:color w:val="auto"/>
              </w:rPr>
              <w:t>Compensation</w:t>
            </w:r>
          </w:p>
        </w:tc>
        <w:tc>
          <w:tcPr>
            <w:tcW w:w="0" w:type="dxa"/>
            <w:vAlign w:val="bottom"/>
          </w:tcPr>
          <w:p>
            <w:pPr>
              <w:spacing w:after="0"/>
              <w:rPr>
                <w:sz w:val="1"/>
                <w:szCs w:val="1"/>
                <w:color w:val="auto"/>
              </w:rPr>
            </w:pPr>
          </w:p>
        </w:tc>
      </w:tr>
      <w:tr>
        <w:trPr>
          <w:trHeight w:val="353"/>
        </w:trPr>
        <w:tc>
          <w:tcPr>
            <w:tcW w:w="340" w:type="dxa"/>
            <w:vAlign w:val="bottom"/>
            <w:shd w:val="clear" w:color="auto" w:fill="FAF6EF"/>
          </w:tcPr>
          <w:p>
            <w:pPr>
              <w:spacing w:after="0"/>
              <w:rPr>
                <w:sz w:val="24"/>
                <w:szCs w:val="24"/>
                <w:color w:val="auto"/>
              </w:rPr>
            </w:pPr>
          </w:p>
        </w:tc>
        <w:tc>
          <w:tcPr>
            <w:tcW w:w="2240" w:type="dxa"/>
            <w:vAlign w:val="bottom"/>
            <w:shd w:val="clear" w:color="auto" w:fill="FAF6EF"/>
          </w:tcPr>
          <w:p>
            <w:pPr>
              <w:spacing w:after="0"/>
              <w:rPr>
                <w:sz w:val="24"/>
                <w:szCs w:val="24"/>
                <w:color w:val="auto"/>
              </w:rPr>
            </w:pPr>
          </w:p>
        </w:tc>
        <w:tc>
          <w:tcPr>
            <w:tcW w:w="360" w:type="dxa"/>
            <w:vAlign w:val="bottom"/>
            <w:tcBorders>
              <w:right w:val="single" w:sz="8" w:color="2C436F"/>
            </w:tcBorders>
            <w:shd w:val="clear" w:color="auto" w:fill="FAF6EF"/>
          </w:tcPr>
          <w:p>
            <w:pPr>
              <w:spacing w:after="0"/>
              <w:rPr>
                <w:sz w:val="24"/>
                <w:szCs w:val="24"/>
                <w:color w:val="auto"/>
              </w:rPr>
            </w:pPr>
          </w:p>
        </w:tc>
        <w:tc>
          <w:tcPr>
            <w:tcW w:w="8300" w:type="dxa"/>
            <w:vAlign w:val="bottom"/>
            <w:gridSpan w:val="2"/>
            <w:shd w:val="clear" w:color="auto" w:fill="FAF6EF"/>
          </w:tcPr>
          <w:p>
            <w:pPr>
              <w:ind w:left="340"/>
              <w:spacing w:after="0"/>
              <w:rPr>
                <w:sz w:val="20"/>
                <w:szCs w:val="20"/>
                <w:color w:val="auto"/>
              </w:rPr>
            </w:pPr>
            <w:r>
              <w:rPr>
                <w:rFonts w:ascii="Arial" w:cs="Arial" w:eastAsia="Arial" w:hAnsi="Arial"/>
                <w:sz w:val="21"/>
                <w:szCs w:val="21"/>
                <w:b w:val="1"/>
                <w:bCs w:val="1"/>
                <w:color w:val="auto"/>
              </w:rPr>
              <w:t xml:space="preserve">The Board recommends a vote of </w:t>
            </w:r>
            <w:r>
              <w:rPr>
                <w:rFonts w:ascii="Arial" w:cs="Arial" w:eastAsia="Arial" w:hAnsi="Arial"/>
                <w:sz w:val="21"/>
                <w:szCs w:val="21"/>
                <w:b w:val="1"/>
                <w:bCs w:val="1"/>
                <w:color w:val="E86100"/>
              </w:rPr>
              <w:t>1YEAR</w:t>
            </w:r>
            <w:r>
              <w:rPr>
                <w:rFonts w:ascii="Arial" w:cs="Arial" w:eastAsia="Arial" w:hAnsi="Arial"/>
                <w:sz w:val="21"/>
                <w:szCs w:val="21"/>
                <w:b w:val="1"/>
                <w:bCs w:val="1"/>
                <w:color w:val="auto"/>
              </w:rPr>
              <w:t xml:space="preserve"> for Proposal 3</w:t>
            </w:r>
          </w:p>
        </w:tc>
        <w:tc>
          <w:tcPr>
            <w:tcW w:w="0" w:type="dxa"/>
            <w:vAlign w:val="bottom"/>
          </w:tcPr>
          <w:p>
            <w:pPr>
              <w:spacing w:after="0"/>
              <w:rPr>
                <w:sz w:val="1"/>
                <w:szCs w:val="1"/>
                <w:color w:val="auto"/>
              </w:rPr>
            </w:pPr>
          </w:p>
        </w:tc>
      </w:tr>
      <w:tr>
        <w:trPr>
          <w:trHeight w:val="286"/>
        </w:trPr>
        <w:tc>
          <w:tcPr>
            <w:tcW w:w="340" w:type="dxa"/>
            <w:vAlign w:val="bottom"/>
            <w:shd w:val="clear" w:color="auto" w:fill="FAF6EF"/>
          </w:tcPr>
          <w:p>
            <w:pPr>
              <w:spacing w:after="0"/>
              <w:rPr>
                <w:sz w:val="24"/>
                <w:szCs w:val="24"/>
                <w:color w:val="auto"/>
              </w:rPr>
            </w:pPr>
          </w:p>
        </w:tc>
        <w:tc>
          <w:tcPr>
            <w:tcW w:w="2240" w:type="dxa"/>
            <w:vAlign w:val="bottom"/>
            <w:shd w:val="clear" w:color="auto" w:fill="FAF6EF"/>
          </w:tcPr>
          <w:p>
            <w:pPr>
              <w:spacing w:after="0"/>
              <w:rPr>
                <w:sz w:val="24"/>
                <w:szCs w:val="24"/>
                <w:color w:val="auto"/>
              </w:rPr>
            </w:pPr>
          </w:p>
        </w:tc>
        <w:tc>
          <w:tcPr>
            <w:tcW w:w="360" w:type="dxa"/>
            <w:vAlign w:val="bottom"/>
            <w:tcBorders>
              <w:right w:val="single" w:sz="8" w:color="2C436F"/>
            </w:tcBorders>
            <w:shd w:val="clear" w:color="auto" w:fill="FAF6EF"/>
          </w:tcPr>
          <w:p>
            <w:pPr>
              <w:spacing w:after="0"/>
              <w:rPr>
                <w:sz w:val="24"/>
                <w:szCs w:val="24"/>
                <w:color w:val="auto"/>
              </w:rPr>
            </w:pPr>
          </w:p>
        </w:tc>
        <w:tc>
          <w:tcPr>
            <w:tcW w:w="580" w:type="dxa"/>
            <w:vAlign w:val="bottom"/>
            <w:shd w:val="clear" w:color="auto" w:fill="FAF6EF"/>
          </w:tcPr>
          <w:p>
            <w:pPr>
              <w:ind w:left="500"/>
              <w:spacing w:after="0"/>
              <w:rPr>
                <w:sz w:val="20"/>
                <w:szCs w:val="20"/>
                <w:color w:val="auto"/>
              </w:rPr>
            </w:pPr>
            <w:r>
              <w:rPr>
                <w:rFonts w:ascii="Arial" w:cs="Arial" w:eastAsia="Arial" w:hAnsi="Arial"/>
                <w:sz w:val="12"/>
                <w:szCs w:val="12"/>
                <w:color w:val="auto"/>
              </w:rPr>
              <w:t>•</w:t>
            </w:r>
          </w:p>
        </w:tc>
        <w:tc>
          <w:tcPr>
            <w:tcW w:w="7720" w:type="dxa"/>
            <w:vAlign w:val="bottom"/>
            <w:shd w:val="clear" w:color="auto" w:fill="FAF6EF"/>
          </w:tcPr>
          <w:p>
            <w:pPr>
              <w:ind w:left="40"/>
              <w:spacing w:after="0"/>
              <w:rPr>
                <w:sz w:val="20"/>
                <w:szCs w:val="20"/>
                <w:color w:val="auto"/>
              </w:rPr>
            </w:pPr>
            <w:r>
              <w:rPr>
                <w:rFonts w:ascii="Arial" w:cs="Arial" w:eastAsia="Arial" w:hAnsi="Arial"/>
                <w:sz w:val="16"/>
                <w:szCs w:val="16"/>
                <w:color w:val="auto"/>
              </w:rPr>
              <w:t> Holding a say-on-pay vote every year allows our stockholders to express their views on our executive</w:t>
            </w:r>
          </w:p>
        </w:tc>
        <w:tc>
          <w:tcPr>
            <w:tcW w:w="0" w:type="dxa"/>
            <w:vAlign w:val="bottom"/>
          </w:tcPr>
          <w:p>
            <w:pPr>
              <w:spacing w:after="0"/>
              <w:rPr>
                <w:sz w:val="1"/>
                <w:szCs w:val="1"/>
                <w:color w:val="auto"/>
              </w:rPr>
            </w:pPr>
          </w:p>
        </w:tc>
      </w:tr>
      <w:tr>
        <w:trPr>
          <w:trHeight w:val="222"/>
        </w:trPr>
        <w:tc>
          <w:tcPr>
            <w:tcW w:w="340" w:type="dxa"/>
            <w:vAlign w:val="bottom"/>
            <w:shd w:val="clear" w:color="auto" w:fill="FAF6EF"/>
          </w:tcPr>
          <w:p>
            <w:pPr>
              <w:spacing w:after="0"/>
              <w:rPr>
                <w:sz w:val="19"/>
                <w:szCs w:val="19"/>
                <w:color w:val="auto"/>
              </w:rPr>
            </w:pPr>
          </w:p>
        </w:tc>
        <w:tc>
          <w:tcPr>
            <w:tcW w:w="2240" w:type="dxa"/>
            <w:vAlign w:val="bottom"/>
            <w:shd w:val="clear" w:color="auto" w:fill="FAF6EF"/>
          </w:tcPr>
          <w:p>
            <w:pPr>
              <w:spacing w:after="0"/>
              <w:rPr>
                <w:sz w:val="19"/>
                <w:szCs w:val="19"/>
                <w:color w:val="auto"/>
              </w:rPr>
            </w:pPr>
          </w:p>
        </w:tc>
        <w:tc>
          <w:tcPr>
            <w:tcW w:w="360" w:type="dxa"/>
            <w:vAlign w:val="bottom"/>
            <w:tcBorders>
              <w:right w:val="single" w:sz="8" w:color="2C436F"/>
            </w:tcBorders>
            <w:shd w:val="clear" w:color="auto" w:fill="FAF6EF"/>
          </w:tcPr>
          <w:p>
            <w:pPr>
              <w:spacing w:after="0"/>
              <w:rPr>
                <w:sz w:val="19"/>
                <w:szCs w:val="19"/>
                <w:color w:val="auto"/>
              </w:rPr>
            </w:pPr>
          </w:p>
        </w:tc>
        <w:tc>
          <w:tcPr>
            <w:tcW w:w="580" w:type="dxa"/>
            <w:vAlign w:val="bottom"/>
            <w:shd w:val="clear" w:color="auto" w:fill="FAF6EF"/>
          </w:tcPr>
          <w:p>
            <w:pPr>
              <w:spacing w:after="0"/>
              <w:rPr>
                <w:sz w:val="19"/>
                <w:szCs w:val="19"/>
                <w:color w:val="auto"/>
              </w:rPr>
            </w:pPr>
          </w:p>
        </w:tc>
        <w:tc>
          <w:tcPr>
            <w:tcW w:w="7720" w:type="dxa"/>
            <w:vAlign w:val="bottom"/>
            <w:shd w:val="clear" w:color="auto" w:fill="FAF6EF"/>
          </w:tcPr>
          <w:p>
            <w:pPr>
              <w:ind w:left="60"/>
              <w:spacing w:after="0"/>
              <w:rPr>
                <w:sz w:val="20"/>
                <w:szCs w:val="20"/>
                <w:color w:val="auto"/>
              </w:rPr>
            </w:pPr>
            <w:r>
              <w:rPr>
                <w:rFonts w:ascii="Arial" w:cs="Arial" w:eastAsia="Arial" w:hAnsi="Arial"/>
                <w:sz w:val="16"/>
                <w:szCs w:val="16"/>
                <w:color w:val="auto"/>
              </w:rPr>
              <w:t>compensation program in a cadence that aligns with best practices and our annual pay decisions</w:t>
            </w:r>
          </w:p>
        </w:tc>
        <w:tc>
          <w:tcPr>
            <w:tcW w:w="0" w:type="dxa"/>
            <w:vAlign w:val="bottom"/>
          </w:tcPr>
          <w:p>
            <w:pPr>
              <w:spacing w:after="0"/>
              <w:rPr>
                <w:sz w:val="1"/>
                <w:szCs w:val="1"/>
                <w:color w:val="auto"/>
              </w:rPr>
            </w:pPr>
          </w:p>
        </w:tc>
      </w:tr>
      <w:tr>
        <w:trPr>
          <w:trHeight w:val="274"/>
        </w:trPr>
        <w:tc>
          <w:tcPr>
            <w:tcW w:w="340" w:type="dxa"/>
            <w:vAlign w:val="bottom"/>
            <w:shd w:val="clear" w:color="auto" w:fill="FAF6EF"/>
          </w:tcPr>
          <w:p>
            <w:pPr>
              <w:spacing w:after="0"/>
              <w:rPr>
                <w:sz w:val="23"/>
                <w:szCs w:val="23"/>
                <w:color w:val="auto"/>
              </w:rPr>
            </w:pPr>
          </w:p>
        </w:tc>
        <w:tc>
          <w:tcPr>
            <w:tcW w:w="2240" w:type="dxa"/>
            <w:vAlign w:val="bottom"/>
            <w:shd w:val="clear" w:color="auto" w:fill="FAF6EF"/>
          </w:tcPr>
          <w:p>
            <w:pPr>
              <w:spacing w:after="0"/>
              <w:rPr>
                <w:sz w:val="23"/>
                <w:szCs w:val="23"/>
                <w:color w:val="auto"/>
              </w:rPr>
            </w:pPr>
          </w:p>
        </w:tc>
        <w:tc>
          <w:tcPr>
            <w:tcW w:w="360" w:type="dxa"/>
            <w:vAlign w:val="bottom"/>
            <w:tcBorders>
              <w:right w:val="single" w:sz="8" w:color="2C436F"/>
            </w:tcBorders>
            <w:shd w:val="clear" w:color="auto" w:fill="FAF6EF"/>
          </w:tcPr>
          <w:p>
            <w:pPr>
              <w:spacing w:after="0"/>
              <w:rPr>
                <w:sz w:val="23"/>
                <w:szCs w:val="23"/>
                <w:color w:val="auto"/>
              </w:rPr>
            </w:pPr>
          </w:p>
        </w:tc>
        <w:tc>
          <w:tcPr>
            <w:tcW w:w="580" w:type="dxa"/>
            <w:vAlign w:val="bottom"/>
            <w:shd w:val="clear" w:color="auto" w:fill="FAF6EF"/>
          </w:tcPr>
          <w:p>
            <w:pPr>
              <w:ind w:left="500"/>
              <w:spacing w:after="0"/>
              <w:rPr>
                <w:sz w:val="20"/>
                <w:szCs w:val="20"/>
                <w:color w:val="auto"/>
              </w:rPr>
            </w:pPr>
            <w:r>
              <w:rPr>
                <w:rFonts w:ascii="Arial" w:cs="Arial" w:eastAsia="Arial" w:hAnsi="Arial"/>
                <w:sz w:val="12"/>
                <w:szCs w:val="12"/>
                <w:color w:val="auto"/>
              </w:rPr>
              <w:t>•</w:t>
            </w:r>
          </w:p>
        </w:tc>
        <w:tc>
          <w:tcPr>
            <w:tcW w:w="7720" w:type="dxa"/>
            <w:vAlign w:val="bottom"/>
            <w:shd w:val="clear" w:color="auto" w:fill="FAF6EF"/>
          </w:tcPr>
          <w:p>
            <w:pPr>
              <w:ind w:left="40"/>
              <w:spacing w:after="0"/>
              <w:rPr>
                <w:sz w:val="20"/>
                <w:szCs w:val="20"/>
                <w:color w:val="auto"/>
              </w:rPr>
            </w:pPr>
            <w:r>
              <w:rPr>
                <w:rFonts w:ascii="Arial" w:cs="Arial" w:eastAsia="Arial" w:hAnsi="Arial"/>
                <w:sz w:val="16"/>
                <w:szCs w:val="16"/>
                <w:color w:val="auto"/>
                <w:w w:val="98"/>
              </w:rPr>
              <w:t>Stockholders voted on a similar proposal in 2018, with the majority voting to hold a say-on-pay vote every year</w:t>
            </w:r>
          </w:p>
        </w:tc>
        <w:tc>
          <w:tcPr>
            <w:tcW w:w="0" w:type="dxa"/>
            <w:vAlign w:val="bottom"/>
          </w:tcPr>
          <w:p>
            <w:pPr>
              <w:spacing w:after="0"/>
              <w:rPr>
                <w:sz w:val="1"/>
                <w:szCs w:val="1"/>
                <w:color w:val="auto"/>
              </w:rPr>
            </w:pPr>
          </w:p>
        </w:tc>
      </w:tr>
      <w:tr>
        <w:trPr>
          <w:trHeight w:val="94"/>
        </w:trPr>
        <w:tc>
          <w:tcPr>
            <w:tcW w:w="340" w:type="dxa"/>
            <w:vAlign w:val="bottom"/>
            <w:shd w:val="clear" w:color="auto" w:fill="FAF6EF"/>
          </w:tcPr>
          <w:p>
            <w:pPr>
              <w:spacing w:after="0"/>
              <w:rPr>
                <w:sz w:val="8"/>
                <w:szCs w:val="8"/>
                <w:color w:val="auto"/>
              </w:rPr>
            </w:pPr>
          </w:p>
        </w:tc>
        <w:tc>
          <w:tcPr>
            <w:tcW w:w="2240" w:type="dxa"/>
            <w:vAlign w:val="bottom"/>
            <w:shd w:val="clear" w:color="auto" w:fill="FAF6EF"/>
          </w:tcPr>
          <w:p>
            <w:pPr>
              <w:spacing w:after="0"/>
              <w:rPr>
                <w:sz w:val="8"/>
                <w:szCs w:val="8"/>
                <w:color w:val="auto"/>
              </w:rPr>
            </w:pPr>
          </w:p>
        </w:tc>
        <w:tc>
          <w:tcPr>
            <w:tcW w:w="360" w:type="dxa"/>
            <w:vAlign w:val="bottom"/>
            <w:tcBorders>
              <w:right w:val="single" w:sz="8" w:color="2C436F"/>
            </w:tcBorders>
            <w:shd w:val="clear" w:color="auto" w:fill="FAF6EF"/>
          </w:tcPr>
          <w:p>
            <w:pPr>
              <w:spacing w:after="0"/>
              <w:rPr>
                <w:sz w:val="8"/>
                <w:szCs w:val="8"/>
                <w:color w:val="auto"/>
              </w:rPr>
            </w:pPr>
          </w:p>
        </w:tc>
        <w:tc>
          <w:tcPr>
            <w:tcW w:w="580" w:type="dxa"/>
            <w:vAlign w:val="bottom"/>
            <w:shd w:val="clear" w:color="auto" w:fill="FAF6EF"/>
          </w:tcPr>
          <w:p>
            <w:pPr>
              <w:spacing w:after="0"/>
              <w:rPr>
                <w:sz w:val="8"/>
                <w:szCs w:val="8"/>
                <w:color w:val="auto"/>
              </w:rPr>
            </w:pPr>
          </w:p>
        </w:tc>
        <w:tc>
          <w:tcPr>
            <w:tcW w:w="7720" w:type="dxa"/>
            <w:vAlign w:val="bottom"/>
            <w:shd w:val="clear" w:color="auto" w:fill="FAF6EF"/>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340" w:type="dxa"/>
            <w:vAlign w:val="bottom"/>
            <w:shd w:val="clear" w:color="auto" w:fill="FAF6EF"/>
          </w:tcPr>
          <w:p>
            <w:pPr>
              <w:spacing w:after="0"/>
              <w:rPr>
                <w:sz w:val="21"/>
                <w:szCs w:val="21"/>
                <w:color w:val="auto"/>
              </w:rPr>
            </w:pPr>
          </w:p>
        </w:tc>
        <w:tc>
          <w:tcPr>
            <w:tcW w:w="2240" w:type="dxa"/>
            <w:vAlign w:val="bottom"/>
            <w:shd w:val="clear" w:color="auto" w:fill="FAF6EF"/>
          </w:tcPr>
          <w:p>
            <w:pPr>
              <w:spacing w:after="0"/>
              <w:rPr>
                <w:sz w:val="21"/>
                <w:szCs w:val="21"/>
                <w:color w:val="auto"/>
              </w:rPr>
            </w:pPr>
          </w:p>
        </w:tc>
        <w:tc>
          <w:tcPr>
            <w:tcW w:w="360" w:type="dxa"/>
            <w:vAlign w:val="bottom"/>
            <w:tcBorders>
              <w:right w:val="single" w:sz="8" w:color="FAF6EF"/>
            </w:tcBorders>
            <w:shd w:val="clear" w:color="auto" w:fill="FAF6EF"/>
          </w:tcPr>
          <w:p>
            <w:pPr>
              <w:spacing w:after="0"/>
              <w:rPr>
                <w:sz w:val="21"/>
                <w:szCs w:val="21"/>
                <w:color w:val="auto"/>
              </w:rPr>
            </w:pPr>
          </w:p>
        </w:tc>
        <w:tc>
          <w:tcPr>
            <w:tcW w:w="580" w:type="dxa"/>
            <w:vAlign w:val="bottom"/>
            <w:shd w:val="clear" w:color="auto" w:fill="FAF6EF"/>
          </w:tcPr>
          <w:p>
            <w:pPr>
              <w:spacing w:after="0"/>
              <w:rPr>
                <w:sz w:val="21"/>
                <w:szCs w:val="21"/>
                <w:color w:val="auto"/>
              </w:rPr>
            </w:pPr>
          </w:p>
        </w:tc>
        <w:tc>
          <w:tcPr>
            <w:tcW w:w="7720" w:type="dxa"/>
            <w:vAlign w:val="bottom"/>
            <w:shd w:val="clear" w:color="auto" w:fill="FAF6E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340" w:type="dxa"/>
            <w:vAlign w:val="bottom"/>
            <w:shd w:val="clear" w:color="auto" w:fill="FAF6EF"/>
          </w:tcPr>
          <w:p>
            <w:pPr>
              <w:spacing w:after="0"/>
              <w:rPr>
                <w:sz w:val="21"/>
                <w:szCs w:val="21"/>
                <w:color w:val="auto"/>
              </w:rPr>
            </w:pPr>
          </w:p>
        </w:tc>
        <w:tc>
          <w:tcPr>
            <w:tcW w:w="2240" w:type="dxa"/>
            <w:vAlign w:val="bottom"/>
            <w:shd w:val="clear" w:color="auto" w:fill="FAF6EF"/>
          </w:tcPr>
          <w:p>
            <w:pPr>
              <w:spacing w:after="0"/>
              <w:rPr>
                <w:sz w:val="21"/>
                <w:szCs w:val="21"/>
                <w:color w:val="auto"/>
              </w:rPr>
            </w:pPr>
          </w:p>
        </w:tc>
        <w:tc>
          <w:tcPr>
            <w:tcW w:w="360" w:type="dxa"/>
            <w:vAlign w:val="bottom"/>
            <w:tcBorders>
              <w:right w:val="single" w:sz="8" w:color="FAF6EF"/>
            </w:tcBorders>
            <w:shd w:val="clear" w:color="auto" w:fill="FAF6EF"/>
          </w:tcPr>
          <w:p>
            <w:pPr>
              <w:spacing w:after="0"/>
              <w:rPr>
                <w:sz w:val="21"/>
                <w:szCs w:val="21"/>
                <w:color w:val="auto"/>
              </w:rPr>
            </w:pPr>
          </w:p>
        </w:tc>
        <w:tc>
          <w:tcPr>
            <w:tcW w:w="580" w:type="dxa"/>
            <w:vAlign w:val="bottom"/>
            <w:shd w:val="clear" w:color="auto" w:fill="FAF6EF"/>
          </w:tcPr>
          <w:p>
            <w:pPr>
              <w:spacing w:after="0"/>
              <w:rPr>
                <w:sz w:val="21"/>
                <w:szCs w:val="21"/>
                <w:color w:val="auto"/>
              </w:rPr>
            </w:pPr>
          </w:p>
        </w:tc>
        <w:tc>
          <w:tcPr>
            <w:tcW w:w="7720" w:type="dxa"/>
            <w:vAlign w:val="bottom"/>
            <w:shd w:val="clear" w:color="auto" w:fill="FAF6E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136765" cy="17506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175069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type w:val="continuous"/>
        </w:sectPr>
      </w:pPr>
    </w:p>
    <w:p>
      <w:pPr>
        <w:ind w:left="340"/>
        <w:spacing w:after="0"/>
        <w:rPr>
          <w:sz w:val="20"/>
          <w:szCs w:val="20"/>
          <w:color w:val="auto"/>
        </w:rPr>
      </w:pPr>
      <w:r>
        <w:rPr>
          <w:rFonts w:ascii="Arial" w:cs="Arial" w:eastAsia="Arial" w:hAnsi="Arial"/>
          <w:sz w:val="31"/>
          <w:szCs w:val="31"/>
          <w:b w:val="1"/>
          <w:bCs w:val="1"/>
          <w:color w:val="3B999E"/>
        </w:rPr>
        <w:t>Proposal 4</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page 64</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200"/>
        <w:spacing w:after="0" w:line="305" w:lineRule="auto"/>
        <w:rPr>
          <w:sz w:val="20"/>
          <w:szCs w:val="20"/>
          <w:color w:val="auto"/>
        </w:rPr>
      </w:pPr>
      <w:r>
        <w:rPr>
          <w:rFonts w:ascii="Arial" w:cs="Arial" w:eastAsia="Arial" w:hAnsi="Arial"/>
          <w:sz w:val="21"/>
          <w:szCs w:val="21"/>
          <w:b w:val="1"/>
          <w:bCs w:val="1"/>
          <w:color w:val="auto"/>
        </w:rPr>
        <w:t>Ratify Deloitte &amp; Touche LLP as our independent registered public accounting firm for fiscal year 2024</w:t>
      </w:r>
    </w:p>
    <w:p>
      <w:pPr>
        <w:spacing w:after="0"/>
        <w:rPr>
          <w:sz w:val="20"/>
          <w:szCs w:val="20"/>
          <w:color w:val="auto"/>
        </w:rPr>
      </w:pPr>
      <w:r>
        <w:rPr>
          <w:rFonts w:ascii="Arial" w:cs="Arial" w:eastAsia="Arial" w:hAnsi="Arial"/>
          <w:sz w:val="21"/>
          <w:szCs w:val="21"/>
          <w:b w:val="1"/>
          <w:bCs w:val="1"/>
          <w:color w:val="auto"/>
        </w:rPr>
        <w:t xml:space="preserve">The Board recommends a vote </w:t>
      </w:r>
      <w:r>
        <w:rPr>
          <w:rFonts w:ascii="Arial" w:cs="Arial" w:eastAsia="Arial" w:hAnsi="Arial"/>
          <w:sz w:val="21"/>
          <w:szCs w:val="21"/>
          <w:b w:val="1"/>
          <w:bCs w:val="1"/>
          <w:color w:val="E86100"/>
        </w:rPr>
        <w:t>FOR</w:t>
      </w:r>
      <w:r>
        <w:rPr>
          <w:rFonts w:ascii="Arial" w:cs="Arial" w:eastAsia="Arial" w:hAnsi="Arial"/>
          <w:sz w:val="21"/>
          <w:szCs w:val="21"/>
          <w:b w:val="1"/>
          <w:bCs w:val="1"/>
          <w:color w:val="auto"/>
        </w:rPr>
        <w:t xml:space="preserve"> Proposal 4</w:t>
      </w:r>
    </w:p>
    <w:p>
      <w:pPr>
        <w:spacing w:after="0" w:line="125" w:lineRule="exact"/>
        <w:rPr>
          <w:sz w:val="20"/>
          <w:szCs w:val="20"/>
          <w:color w:val="auto"/>
        </w:rPr>
      </w:pPr>
    </w:p>
    <w:p>
      <w:pPr>
        <w:ind w:left="280" w:hanging="127"/>
        <w:spacing w:after="0"/>
        <w:tabs>
          <w:tab w:leader="none" w:pos="280" w:val="left"/>
        </w:tabs>
        <w:numPr>
          <w:ilvl w:val="0"/>
          <w:numId w:val="17"/>
        </w:numPr>
        <w:rPr>
          <w:rFonts w:ascii="Arial" w:cs="Arial" w:eastAsia="Arial" w:hAnsi="Arial"/>
          <w:sz w:val="12"/>
          <w:szCs w:val="12"/>
          <w:color w:val="auto"/>
        </w:rPr>
      </w:pPr>
      <w:r>
        <w:rPr>
          <w:rFonts w:ascii="Arial" w:cs="Arial" w:eastAsia="Arial" w:hAnsi="Arial"/>
          <w:sz w:val="16"/>
          <w:szCs w:val="16"/>
          <w:color w:val="auto"/>
        </w:rPr>
        <w:t>Independent firm with reasonable fees and significant financial reporting expertise</w:t>
      </w:r>
    </w:p>
    <w:p>
      <w:pPr>
        <w:spacing w:after="0" w:line="90" w:lineRule="exact"/>
        <w:rPr>
          <w:rFonts w:ascii="Arial" w:cs="Arial" w:eastAsia="Arial" w:hAnsi="Arial"/>
          <w:sz w:val="12"/>
          <w:szCs w:val="12"/>
          <w:color w:val="auto"/>
        </w:rPr>
      </w:pPr>
    </w:p>
    <w:p>
      <w:pPr>
        <w:ind w:left="280" w:hanging="127"/>
        <w:spacing w:after="0"/>
        <w:tabs>
          <w:tab w:leader="none" w:pos="280" w:val="left"/>
        </w:tabs>
        <w:numPr>
          <w:ilvl w:val="0"/>
          <w:numId w:val="17"/>
        </w:numPr>
        <w:rPr>
          <w:rFonts w:ascii="Arial" w:cs="Arial" w:eastAsia="Arial" w:hAnsi="Arial"/>
          <w:sz w:val="12"/>
          <w:szCs w:val="12"/>
          <w:color w:val="auto"/>
        </w:rPr>
      </w:pPr>
      <w:r>
        <w:rPr>
          <w:rFonts w:ascii="Arial" w:cs="Arial" w:eastAsia="Arial" w:hAnsi="Arial"/>
          <w:sz w:val="16"/>
          <w:szCs w:val="16"/>
          <w:color w:val="auto"/>
        </w:rPr>
        <w:t>Deloitte &amp; Touche LLP (“Deloitte”) has been our auditors since 2010</w:t>
      </w:r>
    </w:p>
    <w:p>
      <w:pPr>
        <w:spacing w:after="0" w:line="90" w:lineRule="exact"/>
        <w:rPr>
          <w:rFonts w:ascii="Arial" w:cs="Arial" w:eastAsia="Arial" w:hAnsi="Arial"/>
          <w:sz w:val="12"/>
          <w:szCs w:val="12"/>
          <w:color w:val="auto"/>
        </w:rPr>
      </w:pPr>
    </w:p>
    <w:p>
      <w:pPr>
        <w:ind w:left="300" w:right="280" w:hanging="147"/>
        <w:spacing w:after="0" w:line="301" w:lineRule="auto"/>
        <w:tabs>
          <w:tab w:leader="none" w:pos="277" w:val="left"/>
        </w:tabs>
        <w:numPr>
          <w:ilvl w:val="0"/>
          <w:numId w:val="17"/>
        </w:numPr>
        <w:rPr>
          <w:rFonts w:ascii="Arial" w:cs="Arial" w:eastAsia="Arial" w:hAnsi="Arial"/>
          <w:sz w:val="12"/>
          <w:szCs w:val="12"/>
          <w:color w:val="auto"/>
        </w:rPr>
      </w:pPr>
      <w:r>
        <w:rPr>
          <w:rFonts w:ascii="Arial" w:cs="Arial" w:eastAsia="Arial" w:hAnsi="Arial"/>
          <w:sz w:val="16"/>
          <w:szCs w:val="16"/>
          <w:color w:val="auto"/>
        </w:rPr>
        <w:t>The Audit Committee of the Board (the “Audit Committee”) annually evaluates Deloitte and has determined that its appointment continues to be in the best interests of our stockholders</w:t>
      </w:r>
    </w:p>
    <w:p>
      <w:pPr>
        <w:spacing w:after="0" w:line="200" w:lineRule="exact"/>
        <w:rPr>
          <w:sz w:val="20"/>
          <w:szCs w:val="20"/>
          <w:color w:val="auto"/>
        </w:rPr>
      </w:pPr>
    </w:p>
    <w:p>
      <w:pPr>
        <w:sectPr>
          <w:pgSz w:w="11900" w:h="16838" w:orient="portrait"/>
          <w:cols w:equalWidth="0" w:num="2">
            <w:col w:w="2560" w:space="720"/>
            <w:col w:w="7960"/>
          </w:cols>
          <w:pgMar w:left="320" w:top="10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42"/>
          <w:szCs w:val="42"/>
          <w:b w:val="1"/>
          <w:bCs w:val="1"/>
          <w:color w:val="439E58"/>
        </w:rPr>
        <w:t>Proposal 1</w:t>
      </w:r>
    </w:p>
    <w:p>
      <w:pPr>
        <w:spacing w:after="0" w:line="31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Election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asking our stockholders to elect two Class III nominees to serve on the Board for a three-year term and until their successors are duly elected and qualified. The current Class III nominees up for election are Badri Kothandaraman and Joseph Malchow. The Board currently has seven members and is divided into three classes. Class III currently has two members, Class I has two members and Class II has three members. We believe a classified board provides stability and continuity, permitting directors to develop and share institutional knowledge and focus on the long term.</w:t>
      </w:r>
    </w:p>
    <w:p>
      <w:pPr>
        <w:spacing w:after="0" w:line="13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Currently, each class has a three-year term. Vacancies on the Board may be filled only by persons appointed by a majority of the remaining directors. A director appointed by the Board to fill a vacancy in a class, including vacancies created by an increase in the number of directors, shall serve for the remainder of the full term of that class and until the director’s successor is elected and qualified.</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Directors are elected by a plurality of the votes of the holders of shares present in person or virtually or represented by proxy and entitled to vote at the Annual Meeting on the election of directors. The two nominees receiving the highest number of votes “FOR” will be elected. Shares represented by executed proxies will be voted, if authority to do so is not withheld, for the election of the nominees named below. If any or all of the nominees become unavailable for election as a result of an unexpected occurrence, shares represented by executed proxies that would have been voted for each such nominee instead will be voted for such substitute nominee as the Nominating and Corporate Governance Committee may propose. Each of the nominees is a director of Enphase and has been previously elected by the stockholders. The persons nominated for election have agreed to serve if elected. Our management has no reason to believe that any nominee will be unable to serve.</w:t>
      </w:r>
    </w:p>
    <w:p>
      <w:pPr>
        <w:spacing w:after="0" w:line="13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It is the policy of the Board, as set forth in our Corporate Governance Guidelines, that any nominee for director in an uncontested election who does not receive a majority of the votes cast (i.e., receives a greater number of votes “withheld” from his or her election than votes “for” in such election) shall submit his or her offer of resignation for consideration by the Nominating and Corporate Governance Committee. The Nominating and Corporate Governance Committee shall consider all of the relevant facts and circumstances and recommend to the Board the action to be taken with respect to such offer of resignation. The Board will then act on the Nominating and Corporate Governance Committee’s recommendation. Promptly following the Board’s decision, we will disclose that decision and an explanation of such decision in a filing with the Securities and Exchange Commission (the “SEC”) and a press release.</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It is our policy to encourage directors and nominees for director to attend the Annual Meeting. Badri Kothandaraman, our President and CEO, and all members of the Board attended the 2023 Annual Meeting of Stockholders (the “2023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Vote Required</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two nominees receiving the most “FOR” votes from the holders of shares present in person or virtually or represented by proxy and entitled to vote on the election of directors will be elected. Only votes “FOR” will affect the outcome. Proxies may not be voted for a greater number of persons than the number of nominees named. Our Corporate Governance Guidelines require that any nominee in an uncontested election who does not receive a majority of the votes cast shall submit an offer of resignation to the Nominating and Corporate Governance Committee. The Nominating and Corporate Governance Committee shall consider all of the relevant facts and circumstances and recommend to the Board the action to be taken with respect to such offer of resignation as further described in the preceding section.</w:t>
      </w:r>
    </w:p>
    <w:p>
      <w:pPr>
        <w:spacing w:after="0" w:line="1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 xml:space="preserve">The Board of Directors recommends that stockholders vote </w:t>
      </w:r>
      <w:r>
        <w:rPr>
          <w:rFonts w:ascii="Arial" w:cs="Arial" w:eastAsia="Arial" w:hAnsi="Arial"/>
          <w:sz w:val="24"/>
          <w:szCs w:val="24"/>
          <w:b w:val="1"/>
          <w:bCs w:val="1"/>
          <w:color w:val="E86100"/>
        </w:rPr>
        <w:t>FOR</w:t>
      </w:r>
      <w:r>
        <w:rPr>
          <w:rFonts w:ascii="Arial" w:cs="Arial" w:eastAsia="Arial" w:hAnsi="Arial"/>
          <w:sz w:val="24"/>
          <w:szCs w:val="24"/>
          <w:b w:val="1"/>
          <w:bCs w:val="1"/>
          <w:color w:val="auto"/>
        </w:rPr>
        <w:t xml:space="preserve"> each of the nominees.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4" w:name="page15"/>
    <w:bookmarkEnd w:id="14"/>
    <w:p>
      <w:pPr>
        <w:spacing w:after="0"/>
        <w:rPr>
          <w:sz w:val="20"/>
          <w:szCs w:val="20"/>
          <w:color w:val="auto"/>
        </w:rPr>
      </w:pPr>
      <w:r>
        <w:rPr>
          <w:rFonts w:ascii="Arial" w:cs="Arial" w:eastAsia="Arial" w:hAnsi="Arial"/>
          <w:sz w:val="24"/>
          <w:szCs w:val="24"/>
          <w:b w:val="1"/>
          <w:bCs w:val="1"/>
          <w:color w:val="F45270"/>
        </w:rPr>
        <w:t>Class III Nominees for Election with Terms Expiring at the 2027 Annual Meeting</w:t>
      </w:r>
    </w:p>
    <w:p>
      <w:pPr>
        <w:sectPr>
          <w:pgSz w:w="11900" w:h="16838" w:orient="portrait"/>
          <w:cols w:equalWidth="0" w:num="1">
            <w:col w:w="11220"/>
          </w:cols>
          <w:pgMar w:left="320" w:top="7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right="380"/>
        <w:spacing w:after="0" w:line="292" w:lineRule="auto"/>
        <w:rPr>
          <w:sz w:val="20"/>
          <w:szCs w:val="20"/>
          <w:color w:val="auto"/>
        </w:rPr>
      </w:pPr>
      <w:r>
        <w:rPr>
          <w:rFonts w:ascii="Arial" w:cs="Arial" w:eastAsia="Arial" w:hAnsi="Arial"/>
          <w:sz w:val="21"/>
          <w:szCs w:val="21"/>
          <w:b w:val="1"/>
          <w:bCs w:val="1"/>
          <w:color w:val="auto"/>
        </w:rPr>
        <w:t>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14274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2748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-1783080</wp:posOffset>
            </wp:positionV>
            <wp:extent cx="1037590" cy="13277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37590" cy="132778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0"/>
        <w:spacing w:after="0" w:line="320" w:lineRule="auto"/>
        <w:rPr>
          <w:sz w:val="20"/>
          <w:szCs w:val="20"/>
          <w:color w:val="auto"/>
        </w:rPr>
      </w:pPr>
      <w:r>
        <w:rPr>
          <w:rFonts w:ascii="Arial" w:cs="Arial" w:eastAsia="Arial" w:hAnsi="Arial"/>
          <w:sz w:val="15"/>
          <w:szCs w:val="15"/>
          <w:color w:val="auto"/>
        </w:rPr>
        <w:t>President and Chief Executive Officer</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Director since April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731520</wp:posOffset>
            </wp:positionV>
            <wp:extent cx="1037590" cy="13277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37590" cy="132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Joseph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Malchow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14274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Director since February 2020</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 Skills and Qualifications</w:t>
      </w:r>
    </w:p>
    <w:p>
      <w:pPr>
        <w:spacing w:after="0" w:line="120"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Mr. Kothandaraman brings to the Board strong technical, operational, strategy and leadership experience during his 21-year career at Cypress Semiconductor and his tenure at Enphase.</w:t>
      </w: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Career Highlights</w:t>
      </w:r>
    </w:p>
    <w:p>
      <w:pPr>
        <w:spacing w:after="0" w:line="12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Mr. Kothandaraman, 52, joined Enphase in April 2017 as Chief Operating Officer (“COO”), before being appointed President and CEO and a member of the Board in September 2017. Prior to Enphase, Mr. Kothandaraman served as Executive Vice President of the Data Communications Division of Cypress Semiconductor Corporation, a semiconductor design and manufacturing company, from April 2011 to September 2016. He started his career with Cypress Semiconductor in 1995 and worked in process technology development and chip design before becoming Vice President of the Asynchronous SRAM Business in 2008. Mr. Kothandaraman was subsequently promoted to executive vice president of Cypress’s Data Communications Division in November 2011 and spent the next five years building the USB 3.0, USB-C and the Internet of Things businesses. He also served as the Executive Director of Cypress Semiconductor Technology India Private Limited from 2012 to 2016.</w:t>
      </w:r>
    </w:p>
    <w:p>
      <w:pPr>
        <w:spacing w:after="0" w:line="13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Mr. Kothandaraman received his bachelor of technology degree from IIT Madras and a master of science degree in materials science from the University of California, Berkeley. Mr. Kothandaraman attended the Stanford Executive Program in 2008 and holds eight U.S. patents.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Current Public Company Boards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 Skills and Qualifications</w:t>
      </w:r>
    </w:p>
    <w:p>
      <w:pPr>
        <w:spacing w:after="0" w:line="120"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Mr. Malchow brings to the Board many years of entrepreneurial and investment experience, with expertise in scaled infrastructure, software-driven businesses, data security and machine learning.</w:t>
      </w: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Career Highlights</w:t>
      </w:r>
    </w:p>
    <w:p>
      <w:pPr>
        <w:spacing w:after="0" w:line="12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Mr. Malchow, 38, has served as the founding Partner at HNVR Technology Investment Management, a venture capital firm, and has been investing in technology companies since 2013. In 2011, he co-founded Publir LLC, a cloud software company. Mr. Malchow is a member of the board of the National Civic Arts Society in Washington, D.C. From December 2020 through July 2021, he served on the Board of Directors of Rodgers Silicon Valley Acquisition Corp, a special purpose acquisition company that successfully completed a business combination with Enovix Corporation, a lithium-ion battery company. From January 2021 to January 2023, Mr. Malchow served on the Board of Directors of Archaea Energy Inc., a leading producer of renewable gas. Mr. Malchow provided consulting services to Enphase from April 2019 until April 2022. Mr. Malchow is also involved with Stanford University’s Freeman-Spogli Institute and Hoover Institution, and with The Federalist Society in Washington, D.C.</w:t>
      </w:r>
    </w:p>
    <w:p>
      <w:pPr>
        <w:spacing w:after="0" w:line="138" w:lineRule="exact"/>
        <w:rPr>
          <w:sz w:val="20"/>
          <w:szCs w:val="20"/>
          <w:color w:val="auto"/>
        </w:rPr>
      </w:pPr>
    </w:p>
    <w:p>
      <w:pPr>
        <w:jc w:val="center"/>
        <w:ind w:right="540"/>
        <w:spacing w:after="0"/>
        <w:rPr>
          <w:sz w:val="20"/>
          <w:szCs w:val="20"/>
          <w:color w:val="auto"/>
        </w:rPr>
      </w:pPr>
      <w:r>
        <w:rPr>
          <w:rFonts w:ascii="Arial" w:cs="Arial" w:eastAsia="Arial" w:hAnsi="Arial"/>
          <w:sz w:val="14"/>
          <w:szCs w:val="14"/>
          <w:color w:val="auto"/>
        </w:rPr>
        <w:t>Mr. Malchow holds a bachelor of arts degree from Dartmouth College and a juris doctorate degree from Stanford University.</w:t>
      </w:r>
    </w:p>
    <w:p>
      <w:pPr>
        <w:spacing w:after="0" w:line="195" w:lineRule="exact"/>
        <w:rPr>
          <w:sz w:val="20"/>
          <w:szCs w:val="20"/>
          <w:color w:val="auto"/>
        </w:rPr>
      </w:pPr>
    </w:p>
    <w:p>
      <w:pPr>
        <w:sectPr>
          <w:pgSz w:w="11900" w:h="16838" w:orient="portrait"/>
          <w:cols w:equalWidth="0" w:num="2">
            <w:col w:w="2000" w:space="600"/>
            <w:col w:w="8620"/>
          </w:cols>
          <w:pgMar w:left="320" w:top="757" w:right="359" w:bottom="1440" w:gutter="0" w:footer="0" w:header="0"/>
          <w:type w:val="continuous"/>
        </w:sectPr>
      </w:pPr>
    </w:p>
    <w:p>
      <w:pPr>
        <w:ind w:left="2600"/>
        <w:spacing w:after="0"/>
        <w:rPr>
          <w:sz w:val="20"/>
          <w:szCs w:val="20"/>
          <w:color w:val="auto"/>
        </w:rPr>
      </w:pPr>
      <w:r>
        <w:rPr>
          <w:rFonts w:ascii="Arial" w:cs="Arial" w:eastAsia="Arial" w:hAnsi="Arial"/>
          <w:sz w:val="21"/>
          <w:szCs w:val="21"/>
          <w:b w:val="1"/>
          <w:bCs w:val="1"/>
          <w:color w:val="auto"/>
        </w:rPr>
        <w:t>Current Public Company Boards</w:t>
      </w:r>
    </w:p>
    <w:p>
      <w:pPr>
        <w:spacing w:after="0" w:line="120"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Enovix Corporation (formerly Rodgers Silicon Valley Acquisition Corp.) - since June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757"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4"/>
          <w:szCs w:val="24"/>
          <w:b w:val="1"/>
          <w:bCs w:val="1"/>
          <w:color w:val="2C436F"/>
        </w:rPr>
        <w:t>Class I Directors Continuing in Office Until the 2025 Annual Meeting</w:t>
      </w:r>
    </w:p>
    <w:p>
      <w:pPr>
        <w:sectPr>
          <w:pgSz w:w="11900" w:h="16838" w:orient="portrait"/>
          <w:cols w:equalWidth="0" w:num="1">
            <w:col w:w="11220"/>
          </w:cols>
          <w:pgMar w:left="320" w:top="7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Steven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-1563370</wp:posOffset>
            </wp:positionV>
            <wp:extent cx="1037590" cy="13277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37590" cy="13277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Gomo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14274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Chair of the Board</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since March 2011</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Audit Committee (Chair)</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 Skills and Qualifications</w:t>
      </w:r>
    </w:p>
    <w:p>
      <w:pPr>
        <w:spacing w:after="0" w:line="12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Mr. Gomo brings to the Board valuable financial and business expertise through his years of experience as a chief financial officer with publicly traded companies. Mr. Gomo provides an important role in leading the Board’s activities on financial and auditing matters, as well as collaborating with our independent registered public accounting firm and management team in these areas.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Career Highlights</w:t>
      </w:r>
    </w:p>
    <w:p>
      <w:pPr>
        <w:spacing w:after="0" w:line="120"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Mr. Gomo, 72, served as Executive Vice President of Finance and CFO of NetApp Inc., a computer storage and data management company, from October 2004 until December 2011, and as Senior Vice President of Finance and CFO from August 2002 until October 2004. From November 2000 to April 2002, Mr. Gomo served as CFO of Gemplus International S.A., a smart card provider, and from February 1998 until August 2000, Mr. Gomo served as CFO of Silicon Graphics, Inc., a high-performance computer and computer graphics company. Prior to February 1998, Mr. Gomo held various finance, financial management, manufacturing, and general management positions at Hewlett-Packard Company, an information technology company.</w:t>
      </w:r>
    </w:p>
    <w:p>
      <w:pPr>
        <w:spacing w:after="0" w:line="122"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Mr. Gomo holds a bachelor of science degree in business administration from Oregon State University and a master of business administration degree from Santa Clara University.</w:t>
      </w:r>
    </w:p>
    <w:p>
      <w:pPr>
        <w:spacing w:after="0" w:line="11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From February 2005 to May 2017, Mr. Gomo served on the Board of Directors of SanDisk Corporation, a designer, developer and manufacturer of flash storage solutions. From December 2020 through July 2021, Mr. Gomo served on the Board of Directors of Rodgers Silicon Valley Acquisition Corp, a special purpose acquisition company that successfully completed a business combination with Enovix Corporation.</w:t>
      </w:r>
    </w:p>
    <w:p>
      <w:pPr>
        <w:spacing w:after="0" w:line="122" w:lineRule="exact"/>
        <w:rPr>
          <w:sz w:val="20"/>
          <w:szCs w:val="20"/>
          <w:color w:val="auto"/>
        </w:rPr>
      </w:pPr>
    </w:p>
    <w:p>
      <w:pPr>
        <w:sectPr>
          <w:pgSz w:w="11900" w:h="16838" w:orient="portrait"/>
          <w:cols w:equalWidth="0" w:num="2">
            <w:col w:w="1880" w:space="720"/>
            <w:col w:w="8620"/>
          </w:cols>
          <w:pgMar w:left="320" w:top="7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right="740"/>
        <w:spacing w:after="0" w:line="292" w:lineRule="auto"/>
        <w:rPr>
          <w:sz w:val="20"/>
          <w:szCs w:val="20"/>
          <w:color w:val="auto"/>
        </w:rPr>
      </w:pPr>
      <w:r>
        <w:rPr>
          <w:rFonts w:ascii="Arial" w:cs="Arial" w:eastAsia="Arial" w:hAnsi="Arial"/>
          <w:sz w:val="21"/>
          <w:szCs w:val="21"/>
          <w:b w:val="1"/>
          <w:bCs w:val="1"/>
          <w:color w:val="auto"/>
        </w:rPr>
        <w:t>Thurman John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14274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2748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-1791335</wp:posOffset>
            </wp:positionV>
            <wp:extent cx="1037590" cy="1327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37590" cy="132778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5"/>
          <w:szCs w:val="15"/>
          <w:color w:val="auto"/>
        </w:rPr>
        <w:t>Director since January 2017</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Compensation Committee (Chair)</w:t>
      </w:r>
    </w:p>
    <w:p>
      <w:pPr>
        <w:spacing w:after="0" w:line="205" w:lineRule="exact"/>
        <w:rPr>
          <w:sz w:val="20"/>
          <w:szCs w:val="20"/>
          <w:color w:val="auto"/>
        </w:rPr>
      </w:pPr>
    </w:p>
    <w:p>
      <w:pPr>
        <w:ind w:left="20" w:right="460"/>
        <w:spacing w:after="0" w:line="360" w:lineRule="auto"/>
        <w:rPr>
          <w:sz w:val="20"/>
          <w:szCs w:val="20"/>
          <w:color w:val="auto"/>
        </w:rPr>
      </w:pPr>
      <w:r>
        <w:rPr>
          <w:rFonts w:ascii="Arial" w:cs="Arial" w:eastAsia="Arial" w:hAnsi="Arial"/>
          <w:sz w:val="14"/>
          <w:szCs w:val="14"/>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Current Public Company Boards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Nutanix, Inc. - since June 2015; Micron Technology, Inc. - since October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 Skills and Qualifications</w:t>
      </w:r>
    </w:p>
    <w:p>
      <w:pPr>
        <w:spacing w:after="0" w:line="120"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Mr. Rodger’s brings 35 years of public company CEO experience to the Board. Mr. Rodgers provides an important role in leading the strategic vision of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Career Highlights</w:t>
      </w:r>
    </w:p>
    <w:p>
      <w:pPr>
        <w:spacing w:after="0" w:line="12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Mr. Rodgers, 76, founded Cypress Semiconductor Corporation in 1982 and served as the President, CEO and as a member of the Board of Directors until April 2017. From September 2020 to July 2021, he served as the Chairman of the Board of Directors and CEO of Rodgers Silicon Valley Acquisition Corp., a special purpose acquisition company, that successfully completed a business combination with Enovix Corporation in July 2021, and he continues to serve as the Chairman of the Board of Directors of Enovix Corporation. From January 2017 to January 2023, Mr. Rodgers also served on the Board of Directors of FTC Solar, Inc., a solar tracker company. From May 2002 to May 2011, Mr. Rodgers served as a member of the Board of Directors of SunPower Corporation, an energy company. From June 2004 through December 2012 Mr. Rodgers was a member of the board of trustees of Dartmouth College.</w:t>
      </w:r>
    </w:p>
    <w:p>
      <w:pPr>
        <w:spacing w:after="0" w:line="13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Mr. Rodgers holds a bachelor of science degree in physics and chemistry from Dartmouth. Mr. Rodgers holds a master of science degree and a Ph.D. in electrical engineering from Stanford University. At Stanford, Mr. Rodgers invented, developed and patented VMOS technology.</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Current Public Company Boards</w:t>
      </w:r>
    </w:p>
    <w:p>
      <w:pPr>
        <w:spacing w:after="0" w:line="133"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Enovix Corporation (formerly Rodgers Silicon Valley Acquisition Corp.) - since September 2020; Complete Solaria - since November 2022</w:t>
      </w:r>
    </w:p>
    <w:p>
      <w:pPr>
        <w:spacing w:after="0" w:line="200" w:lineRule="exact"/>
        <w:rPr>
          <w:sz w:val="20"/>
          <w:szCs w:val="20"/>
          <w:color w:val="auto"/>
        </w:rPr>
      </w:pPr>
    </w:p>
    <w:p>
      <w:pPr>
        <w:sectPr>
          <w:pgSz w:w="11900" w:h="16838" w:orient="portrait"/>
          <w:cols w:equalWidth="0" w:num="2">
            <w:col w:w="2220" w:space="380"/>
            <w:col w:w="8620"/>
          </w:cols>
          <w:pgMar w:left="320" w:top="7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757"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4"/>
          <w:szCs w:val="24"/>
          <w:b w:val="1"/>
          <w:bCs w:val="1"/>
          <w:color w:val="439E58"/>
        </w:rPr>
        <w:t>Class II Directors Continuing in Office Until the 2026 Annual Meeting</w:t>
      </w:r>
    </w:p>
    <w:p>
      <w:pPr>
        <w:sectPr>
          <w:pgSz w:w="11900" w:h="16838" w:orient="portrait"/>
          <w:cols w:equalWidth="0" w:num="1">
            <w:col w:w="11220"/>
          </w:cols>
          <w:pgMar w:left="320" w:top="7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Jamie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-1563370</wp:posOffset>
            </wp:positionV>
            <wp:extent cx="1037590" cy="1327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37590" cy="13277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Haenggi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14274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Director since August 2020</w:t>
      </w:r>
    </w:p>
    <w:p>
      <w:pPr>
        <w:spacing w:after="0" w:line="193" w:lineRule="exact"/>
        <w:rPr>
          <w:sz w:val="20"/>
          <w:szCs w:val="20"/>
          <w:color w:val="auto"/>
        </w:rPr>
      </w:pPr>
    </w:p>
    <w:p>
      <w:pPr>
        <w:ind w:left="20" w:right="200"/>
        <w:spacing w:after="0" w:line="360" w:lineRule="auto"/>
        <w:rPr>
          <w:sz w:val="20"/>
          <w:szCs w:val="20"/>
          <w:color w:val="auto"/>
        </w:rPr>
      </w:pPr>
      <w:r>
        <w:rPr>
          <w:rFonts w:ascii="Arial" w:cs="Arial" w:eastAsia="Arial" w:hAnsi="Arial"/>
          <w:sz w:val="14"/>
          <w:szCs w:val="14"/>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965835</wp:posOffset>
            </wp:positionV>
            <wp:extent cx="1037590" cy="1327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37590" cy="132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Benjamin Kortlang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14274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since May 2010</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Audit Committee</w:t>
      </w:r>
    </w:p>
    <w:p>
      <w:pPr>
        <w:spacing w:after="0" w:line="192" w:lineRule="exact"/>
        <w:rPr>
          <w:sz w:val="20"/>
          <w:szCs w:val="20"/>
          <w:color w:val="auto"/>
        </w:rPr>
      </w:pPr>
    </w:p>
    <w:p>
      <w:pPr>
        <w:ind w:left="20"/>
        <w:spacing w:after="0" w:line="370" w:lineRule="auto"/>
        <w:rPr>
          <w:sz w:val="20"/>
          <w:szCs w:val="20"/>
          <w:color w:val="auto"/>
        </w:rPr>
      </w:pPr>
      <w:r>
        <w:rPr>
          <w:rFonts w:ascii="Arial" w:cs="Arial" w:eastAsia="Arial" w:hAnsi="Arial"/>
          <w:sz w:val="13"/>
          <w:szCs w:val="13"/>
          <w:color w:val="auto"/>
        </w:rPr>
        <w:t>Nominating and Corporate Governance Committee (Chair)</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 Skills and Qualifications</w:t>
      </w:r>
    </w:p>
    <w:p>
      <w:pPr>
        <w:spacing w:after="0" w:line="120"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Ms. Haenggi’s extensive experience in consumer and commercial sales, marketing and customer experience brings a valuable perspective to the Board.</w:t>
      </w: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Career Highlights</w:t>
      </w:r>
    </w:p>
    <w:p>
      <w:pPr>
        <w:spacing w:after="0" w:line="120"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Ms. Haenggi, 54, has served as the President of ADT Solar, a division of ADT Security Services, a smart-home security provider, since December 2022. She previously served as the Executive Vice President, COO at ADT Solar, overseeing sales, marketing contract center, field and business operations, HR, IT and administration. Prior to that, Ms. Haenggi was the Executive Vice President, Chief Customer Officer at ADT Security Services from July 2018 to March 2022. She joined ADT in 2016 as Senior Vice President, Chief Sales and Marketing Officer and had previously been with the company from 1998 to 2006 with progressive senior leadership roles in commercial sales and marketing, and domestic and international sales and marketing. From 2010 to 2016, Ms. Haenggi was the Chief Customer Experience Officer at Protection 1, Inc., a home security systems company. Previously, she was at Vonage, Inc. from 2006 to 2010 as the Chief Marketing Officer and Vice President of Customer Experience. Earlier in her career, Ms. Haenggi held various sales and marketing roles at Holmes Protection Group and National Guardian Corporation.</w:t>
      </w:r>
    </w:p>
    <w:p>
      <w:pPr>
        <w:spacing w:after="0" w:line="124"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Ms. Haenggi earned a bachelor of arts degree in international relations and Japanese from the University of Minnesota and received an honorary doctorate from Taylor University.</w:t>
      </w: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Current Public Company Boards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 Skills and Qualifications</w:t>
      </w:r>
    </w:p>
    <w:p>
      <w:pPr>
        <w:spacing w:after="0" w:line="12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Mr. Kortlang’s work as a venture capitalist with a focus on growth-stage investing in alternative energy technologies provides a valuable industry perspective to the Board. Additionally, Mr. Kortlang’s investing and business experience also provides the Board with a valuable perspective on acquisitions and building alternative energy businesses.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Career Highlights</w:t>
      </w:r>
    </w:p>
    <w:p>
      <w:pPr>
        <w:spacing w:after="0" w:line="12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Mr. Kortlang, 48, has been a Partner with G2VP, LLC, a venture capital firm since August 2016. From February 2008 to April 2020, Mr. Kortlang was a Partner with Kleiner Perkins Caufield &amp; Byers, a venture capital firm. From July 2000 to January 2008, Mr. Kortlang worked with Goldman, Sachs &amp; Co., co-heading Goldman’s Alternative Energy Investing business. From June 2005 to February 2008, Mr. Kortlang was a Vice President within Goldman’s Special Situations Group, before which he was a Vice President in Goldman’s investment banking group focusing on Industrials and Natural Resources. From January 1996 to August 1998, Mr. Kortlang was an Associate with A.T. Kearney, Inc., a global management consulting firm where he focused on strategic and operations consulting in the energy, manufacturing, packaging, transportation and communications industries. From February 1993 to July 1994, Mr. Kortlang was a Business Analyst at National Australia Bank in strategic planning and macroeconomic forecasting. Mr. Kortlang served on the Board of Directors of Luminar Technologies, Inc. from 2019 until 2021.</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Mr. Kortlang holds a bachelor of business degree in economics and finance from Royal Melbourne Institute of Technology, a bachelor of commerce and an honors degree in econometrics from University of Melbourne and a master of business administration degree from the University of Michigan.</w:t>
      </w:r>
    </w:p>
    <w:p>
      <w:pPr>
        <w:spacing w:after="0" w:line="124" w:lineRule="exact"/>
        <w:rPr>
          <w:sz w:val="20"/>
          <w:szCs w:val="20"/>
          <w:color w:val="auto"/>
        </w:rPr>
      </w:pPr>
    </w:p>
    <w:p>
      <w:pPr>
        <w:sectPr>
          <w:pgSz w:w="11900" w:h="16838" w:orient="portrait"/>
          <w:cols w:equalWidth="0" w:num="2">
            <w:col w:w="1960" w:space="640"/>
            <w:col w:w="8620"/>
          </w:cols>
          <w:pgMar w:left="320" w:top="757" w:right="359" w:bottom="1440" w:gutter="0" w:footer="0" w:header="0"/>
          <w:type w:val="continuous"/>
        </w:sectPr>
      </w:pPr>
    </w:p>
    <w:p>
      <w:pPr>
        <w:ind w:left="2600"/>
        <w:spacing w:after="0"/>
        <w:rPr>
          <w:sz w:val="20"/>
          <w:szCs w:val="20"/>
          <w:color w:val="auto"/>
        </w:rPr>
      </w:pPr>
      <w:r>
        <w:rPr>
          <w:rFonts w:ascii="Arial" w:cs="Arial" w:eastAsia="Arial" w:hAnsi="Arial"/>
          <w:sz w:val="20"/>
          <w:szCs w:val="20"/>
          <w:b w:val="1"/>
          <w:bCs w:val="1"/>
          <w:color w:val="auto"/>
        </w:rPr>
        <w:t>Current Public Company Boards</w:t>
      </w:r>
    </w:p>
    <w:p>
      <w:pPr>
        <w:spacing w:after="0" w:line="132"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220"/>
          </w:cols>
          <w:pgMar w:left="320" w:top="7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757" w:right="35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520700</wp:posOffset>
            </wp:positionV>
            <wp:extent cx="1037590" cy="13277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037590" cy="132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Richard</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182880</wp:posOffset>
            </wp:positionV>
            <wp:extent cx="14274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Director since February 2014</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Audit Committee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Key Skills and Qualifications</w:t>
      </w:r>
    </w:p>
    <w:p>
      <w:pPr>
        <w:spacing w:after="0" w:line="12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Mr. Mora’s expertise in process and productivity improvements at the corporate, regional and country level provides a valuable perspective to the Board, as well as his years of experience with respect to emerging companies, risk management, team building and international operations.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Career Highlights</w:t>
      </w:r>
    </w:p>
    <w:p>
      <w:pPr>
        <w:spacing w:after="0" w:line="12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Mr. Mora, 59, served as the CEO of Landis+Gyr, an energy management company, from April 2017 through April 2020. Prior to that, Mr. Mora served as the COO of Landis+Gyr, from January 2014 to April 2017. Mr. Mora served as the President and CEO of Landis+Gyr Americas where he had responsibilities for operations in both North and South America, from August 2011 to January 2014. He served as the President and CEO of Landis+Gyr North America, from August 2008 to August 2011.</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Mr. Mora holds a bachelor of arts degree in economics from Stanford University.</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Current Public Company Boards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8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76835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2">
            <w:col w:w="1920" w:space="660"/>
            <w:col w:w="8620"/>
          </w:cols>
          <w:pgMar w:left="340" w:top="806" w:right="359" w:bottom="1440" w:gutter="0" w:footer="0" w:header="0"/>
        </w:sectPr>
      </w:pPr>
    </w:p>
    <w:bookmarkStart w:id="18" w:name="page19"/>
    <w:bookmarkEnd w:id="18"/>
    <w:p>
      <w:pPr>
        <w:ind w:right="1360"/>
        <w:spacing w:after="0" w:line="319" w:lineRule="auto"/>
        <w:rPr>
          <w:sz w:val="20"/>
          <w:szCs w:val="20"/>
          <w:color w:val="auto"/>
        </w:rPr>
      </w:pPr>
      <w:r>
        <w:rPr>
          <w:rFonts w:ascii="Arial" w:cs="Arial" w:eastAsia="Arial" w:hAnsi="Arial"/>
          <w:sz w:val="42"/>
          <w:szCs w:val="42"/>
          <w:b w:val="1"/>
          <w:bCs w:val="1"/>
          <w:color w:val="auto"/>
        </w:rPr>
        <w:t>Information Regarding the Board of Directors and Corporate Governance</w:t>
      </w:r>
    </w:p>
    <w:p>
      <w:pPr>
        <w:spacing w:after="0" w:line="49"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Identifying and Evaluating Nominees for Directors</w:t>
      </w:r>
    </w:p>
    <w:p>
      <w:pPr>
        <w:spacing w:after="0" w:line="2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Board is responsible for selecting nominees for election as directors. The Board delegates the screening process to the Nominating and Corporate Governance Committee with the expectation that other members of the Board will participate in this process, as appropriate. The Nominating and Corporate Governance Committee periodically reviews the skills and types of experience that it believes should be represented on the Board in light of our current business needs and strategy. The Nominating and Corporate Governance Committee then uses this information to consider whether all of the identified skills and experience are represented on the Board, and may recommend to the Board that the expertise of the current members should be supplemented. The Nominating and Corporate Governance Committee takes these factors into account when looking for candidates for the Board. Candidates recommended by the Nominating and Corporate Governance Committee are subject to approval by the full Board. The Nominating and Corporate Governance Committee regularly assesses the appropriate size of the Board and whether any vacancies on the Board are anticipated because of retirement or otherwise. In the event that any vacancy is anticipated, or otherwise arises, the Nominating and Corporate Governance Committee considers various potential candidates for director.</w:t>
      </w:r>
    </w:p>
    <w:p>
      <w:pPr>
        <w:spacing w:after="0" w:line="136"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For additional information on the criteria used to select Board nominees, please see the section “Information Regarding Committees of the Board - Nominating and Corporate Governance Committee” below.</w:t>
      </w:r>
    </w:p>
    <w:p>
      <w:pPr>
        <w:spacing w:after="0" w:line="189"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Director Independence</w:t>
      </w:r>
    </w:p>
    <w:p>
      <w:pPr>
        <w:spacing w:after="0" w:line="26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Under The Nasdaq Stock Market LLC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compensation and nominating committees be independent within the meaning of the Nasdaq listing standards. Under the Nasdaq listing standards, a director will only qualify as an “independent director” if, in the opinion of a company’s board of directors, that person does not have a relationship that would interfere with the exercise of independent judgment in carrying out the responsibilities of a director. Audit committee members must also satisfy the independence criteria set forth in Rule 10A-3 under the Exchange Act of 1934, as amended (the “Exchange Act”).</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undertook a review of the independence of each director. Based on information provided by each director concerning his or her background, employment and affiliations, the Board determined that each of Messrs. Gomo, Kortlang, Mora and Rodgers and Ms. Haenggi do not have a relationship with Enphase that would interfere with the exercise of independent judgment in carrying out the responsibilities of a director, and that each of these is “independent” as that term is defined under the applicable rules and regulations of the SEC and the Nasdaq listing standards. Accordingly, a majority of our directors are independent, as required under Nasdaq listing standards. The Board determined that Messrs. Kothandaraman and Malchow are not “independent” as defined under the applicable Nasdaq listing standards due to their services as our president and chief executive officer and as a consultant, respectively. Mr. Malchow’s consultant agreement with Enphase expired in April 2022.</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non-employee directors meet in regularly scheduled executive sessions at which only non-employee directors are present.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9" w:name="page20"/>
    <w:bookmarkEnd w:id="19"/>
    <w:p>
      <w:pPr>
        <w:spacing w:after="0"/>
        <w:rPr>
          <w:sz w:val="20"/>
          <w:szCs w:val="20"/>
          <w:color w:val="auto"/>
        </w:rPr>
      </w:pPr>
      <w:r>
        <w:rPr>
          <w:rFonts w:ascii="Arial" w:cs="Arial" w:eastAsia="Arial" w:hAnsi="Arial"/>
          <w:sz w:val="31"/>
          <w:szCs w:val="31"/>
          <w:b w:val="1"/>
          <w:bCs w:val="1"/>
          <w:color w:val="auto"/>
        </w:rPr>
        <w:t>Board Diversity and Refreshment; Director Tenure</w:t>
      </w:r>
    </w:p>
    <w:p>
      <w:pPr>
        <w:spacing w:after="0" w:line="313" w:lineRule="exact"/>
        <w:rPr>
          <w:sz w:val="20"/>
          <w:szCs w:val="20"/>
          <w:color w:val="auto"/>
        </w:rPr>
      </w:pPr>
    </w:p>
    <w:p>
      <w:pPr>
        <w:jc w:val="both"/>
        <w:ind w:right="20"/>
        <w:spacing w:after="0" w:line="318" w:lineRule="auto"/>
        <w:rPr>
          <w:sz w:val="20"/>
          <w:szCs w:val="20"/>
          <w:color w:val="auto"/>
        </w:rPr>
      </w:pPr>
      <w:r>
        <w:rPr>
          <w:rFonts w:ascii="Arial" w:cs="Arial" w:eastAsia="Arial" w:hAnsi="Arial"/>
          <w:sz w:val="15"/>
          <w:szCs w:val="15"/>
          <w:color w:val="auto"/>
        </w:rPr>
        <w:t>The Board and the Nominating and Corporate Governance Committee value diversity of backgrounds, age, education, experience, perspectives and leadership in different fields when identifying nominees, and we assess the effectiveness of our efforts in pursuing diversity in connection with our annual evaluations. The Board believes that the representation of gender, ethnic, geographic, cultural or other diverse perspectives expands the Board’s understanding of our customers, partners, employees, investors and other stakeholders. Presently, we have one woman director and two ethnically diverse directors.</w:t>
      </w:r>
    </w:p>
    <w:p>
      <w:pPr>
        <w:spacing w:after="0" w:line="11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Nominating and Corporate Governance Committee is committed to identifying qualified diverse candidates for its Board. In furtherance of this commitment, the Nominating and Corporate Governance Committee continues to actively seek to add a candidate to the Board in the near future that enhances the skill set of the Board, who ideally adds gender diversity and is an expert in software and digital transformation.</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Board is committed to ongoing and thoughtful refreshment of its membership, yet also believes it is in the best interests of Enphase and our stockholders to maintain a mix of longer-tenured, experienced directors with institutional knowledge and newer directors with fresh perspectives. If each director nominee is elected to the Board at the Annual Meeting, two of our directors will be newer directors having been appointed in 2020 or later.</w:t>
      </w:r>
    </w:p>
    <w:p>
      <w:pPr>
        <w:spacing w:after="0" w:line="124"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We do not impose director tenure limits or a mandatory retirement age. The Board believes that our longer-tenured directors, with their deep historical and institutional knowledge, have a unique perspective of Enphase, which provides invaluable insight as we continue to grow and evolve. Accordingly, while director tenure is taken into consideration when making nomination decisions, the Board believes that imposing strict limits on director tenure would deprive the Board of the valuable perspectives of its most experienced members. If each director nominee is elected to the Board at the Annual Meeting, our directors will have served on the Board for an average of 8.4 years. The Board believes the current average tenure of 8.4 years for its directors is consistent with the balance the Board seeks between different perspectives brought by longer serving directors and newer directors.</w:t>
      </w:r>
    </w:p>
    <w:p>
      <w:pPr>
        <w:spacing w:after="0" w:line="13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demographic information presented below for our directors is based on voluntary self-identification by each director. Additional biographical information of our directors and executive officers as of March 19, 2024 is set forth beginning on page 9.</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3480" w:type="dxa"/>
            <w:vAlign w:val="bottom"/>
            <w:tcBorders>
              <w:lef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Part I : Gender Identity</w:t>
            </w:r>
          </w:p>
        </w:tc>
        <w:tc>
          <w:tcPr>
            <w:tcW w:w="2300" w:type="dxa"/>
            <w:vAlign w:val="bottom"/>
            <w:tcBorders>
              <w:right w:val="single" w:sz="8" w:color="3C3C3C"/>
            </w:tcBorders>
            <w:shd w:val="clear" w:color="auto" w:fill="3C3C3C"/>
          </w:tcPr>
          <w:p>
            <w:pPr>
              <w:spacing w:after="0"/>
              <w:rPr>
                <w:sz w:val="19"/>
                <w:szCs w:val="19"/>
                <w:color w:val="auto"/>
              </w:rPr>
            </w:pPr>
          </w:p>
        </w:tc>
        <w:tc>
          <w:tcPr>
            <w:tcW w:w="1820" w:type="dxa"/>
            <w:vAlign w:val="bottom"/>
            <w:tcBorders>
              <w:right w:val="single" w:sz="8" w:color="3C3C3C"/>
            </w:tcBorders>
            <w:shd w:val="clear" w:color="auto" w:fill="3C3C3C"/>
          </w:tcPr>
          <w:p>
            <w:pPr>
              <w:ind w:left="640"/>
              <w:spacing w:after="0"/>
              <w:rPr>
                <w:sz w:val="20"/>
                <w:szCs w:val="20"/>
                <w:color w:val="auto"/>
              </w:rPr>
            </w:pPr>
            <w:r>
              <w:rPr>
                <w:rFonts w:ascii="Arial" w:cs="Arial" w:eastAsia="Arial" w:hAnsi="Arial"/>
                <w:sz w:val="14"/>
                <w:szCs w:val="14"/>
                <w:b w:val="1"/>
                <w:bCs w:val="1"/>
                <w:color w:val="FFFFFF"/>
              </w:rPr>
              <w:t>Female</w:t>
            </w:r>
          </w:p>
        </w:tc>
        <w:tc>
          <w:tcPr>
            <w:tcW w:w="1840" w:type="dxa"/>
            <w:vAlign w:val="bottom"/>
            <w:tcBorders>
              <w:right w:val="single" w:sz="8" w:color="3C3C3C"/>
            </w:tcBorders>
            <w:shd w:val="clear" w:color="auto" w:fill="3C3C3C"/>
          </w:tcPr>
          <w:p>
            <w:pPr>
              <w:ind w:left="740"/>
              <w:spacing w:after="0"/>
              <w:rPr>
                <w:sz w:val="20"/>
                <w:szCs w:val="20"/>
                <w:color w:val="auto"/>
              </w:rPr>
            </w:pPr>
            <w:r>
              <w:rPr>
                <w:rFonts w:ascii="Arial" w:cs="Arial" w:eastAsia="Arial" w:hAnsi="Arial"/>
                <w:sz w:val="14"/>
                <w:szCs w:val="14"/>
                <w:b w:val="1"/>
                <w:bCs w:val="1"/>
                <w:color w:val="FFFFFF"/>
              </w:rPr>
              <w:t>Male</w:t>
            </w:r>
          </w:p>
        </w:tc>
        <w:tc>
          <w:tcPr>
            <w:tcW w:w="180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Non-Binary</w:t>
            </w:r>
          </w:p>
        </w:tc>
        <w:tc>
          <w:tcPr>
            <w:tcW w:w="20" w:type="dxa"/>
            <w:vAlign w:val="bottom"/>
          </w:tcPr>
          <w:p>
            <w:pPr>
              <w:spacing w:after="0"/>
              <w:rPr>
                <w:sz w:val="19"/>
                <w:szCs w:val="19"/>
                <w:color w:val="auto"/>
              </w:rPr>
            </w:pPr>
          </w:p>
        </w:tc>
      </w:tr>
      <w:tr>
        <w:trPr>
          <w:trHeight w:val="235"/>
        </w:trPr>
        <w:tc>
          <w:tcPr>
            <w:tcW w:w="3480" w:type="dxa"/>
            <w:vAlign w:val="bottom"/>
            <w:tcBorders>
              <w:lef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Directors</w:t>
            </w:r>
          </w:p>
        </w:tc>
        <w:tc>
          <w:tcPr>
            <w:tcW w:w="2300" w:type="dxa"/>
            <w:vAlign w:val="bottom"/>
            <w:tcBorders>
              <w:right w:val="single" w:sz="8" w:color="7D7D7D"/>
            </w:tcBorders>
            <w:shd w:val="clear" w:color="auto" w:fill="FAF6EF"/>
          </w:tcPr>
          <w:p>
            <w:pPr>
              <w:spacing w:after="0"/>
              <w:rPr>
                <w:sz w:val="20"/>
                <w:szCs w:val="20"/>
                <w:color w:val="auto"/>
              </w:rPr>
            </w:pPr>
          </w:p>
        </w:tc>
        <w:tc>
          <w:tcPr>
            <w:tcW w:w="18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89"/>
              </w:rPr>
              <w:t>1</w:t>
            </w:r>
          </w:p>
        </w:tc>
        <w:tc>
          <w:tcPr>
            <w:tcW w:w="18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89"/>
              </w:rPr>
              <w:t>6</w:t>
            </w:r>
          </w:p>
        </w:tc>
        <w:tc>
          <w:tcPr>
            <w:tcW w:w="18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r>
      <w:tr>
        <w:trPr>
          <w:trHeight w:val="222"/>
        </w:trPr>
        <w:tc>
          <w:tcPr>
            <w:tcW w:w="3480" w:type="dxa"/>
            <w:vAlign w:val="bottom"/>
            <w:tcBorders>
              <w:lef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Part II : Demographic Background</w:t>
            </w:r>
          </w:p>
        </w:tc>
        <w:tc>
          <w:tcPr>
            <w:tcW w:w="2300" w:type="dxa"/>
            <w:vAlign w:val="bottom"/>
            <w:tcBorders>
              <w:right w:val="single" w:sz="8" w:color="3C3C3C"/>
            </w:tcBorders>
            <w:shd w:val="clear" w:color="auto" w:fill="3C3C3C"/>
          </w:tcPr>
          <w:p>
            <w:pPr>
              <w:spacing w:after="0"/>
              <w:rPr>
                <w:sz w:val="19"/>
                <w:szCs w:val="19"/>
                <w:color w:val="auto"/>
              </w:rPr>
            </w:pPr>
          </w:p>
        </w:tc>
        <w:tc>
          <w:tcPr>
            <w:tcW w:w="1820" w:type="dxa"/>
            <w:vAlign w:val="bottom"/>
            <w:tcBorders>
              <w:right w:val="single" w:sz="8" w:color="3C3C3C"/>
            </w:tcBorders>
            <w:shd w:val="clear" w:color="auto" w:fill="3C3C3C"/>
          </w:tcPr>
          <w:p>
            <w:pPr>
              <w:spacing w:after="0"/>
              <w:rPr>
                <w:sz w:val="19"/>
                <w:szCs w:val="19"/>
                <w:color w:val="auto"/>
              </w:rPr>
            </w:pPr>
          </w:p>
        </w:tc>
        <w:tc>
          <w:tcPr>
            <w:tcW w:w="1840" w:type="dxa"/>
            <w:vAlign w:val="bottom"/>
            <w:tcBorders>
              <w:right w:val="single" w:sz="8" w:color="3C3C3C"/>
            </w:tcBorders>
            <w:shd w:val="clear" w:color="auto" w:fill="3C3C3C"/>
          </w:tcPr>
          <w:p>
            <w:pPr>
              <w:spacing w:after="0"/>
              <w:rPr>
                <w:sz w:val="19"/>
                <w:szCs w:val="19"/>
                <w:color w:val="auto"/>
              </w:rPr>
            </w:pPr>
          </w:p>
        </w:tc>
        <w:tc>
          <w:tcPr>
            <w:tcW w:w="1800" w:type="dxa"/>
            <w:vAlign w:val="bottom"/>
            <w:shd w:val="clear" w:color="auto" w:fill="3C3C3C"/>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3480" w:type="dxa"/>
            <w:vAlign w:val="bottom"/>
            <w:tcBorders>
              <w:lef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African American or Black</w:t>
            </w:r>
          </w:p>
        </w:tc>
        <w:tc>
          <w:tcPr>
            <w:tcW w:w="2300" w:type="dxa"/>
            <w:vAlign w:val="bottom"/>
            <w:tcBorders>
              <w:right w:val="single" w:sz="8" w:color="7D7D7D"/>
            </w:tcBorders>
            <w:shd w:val="clear" w:color="auto" w:fill="FAF6EF"/>
          </w:tcPr>
          <w:p>
            <w:pPr>
              <w:spacing w:after="0"/>
              <w:rPr>
                <w:sz w:val="20"/>
                <w:szCs w:val="20"/>
                <w:color w:val="auto"/>
              </w:rPr>
            </w:pPr>
          </w:p>
        </w:tc>
        <w:tc>
          <w:tcPr>
            <w:tcW w:w="18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8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r>
      <w:tr>
        <w:trPr>
          <w:trHeight w:val="232"/>
        </w:trPr>
        <w:tc>
          <w:tcPr>
            <w:tcW w:w="3480" w:type="dxa"/>
            <w:vAlign w:val="bottom"/>
            <w:tcBorders>
              <w:left w:val="single" w:sz="8" w:color="7D7D7D"/>
            </w:tcBorders>
          </w:tcPr>
          <w:p>
            <w:pPr>
              <w:ind w:left="120"/>
              <w:spacing w:after="0"/>
              <w:rPr>
                <w:sz w:val="20"/>
                <w:szCs w:val="20"/>
                <w:color w:val="auto"/>
              </w:rPr>
            </w:pPr>
            <w:r>
              <w:rPr>
                <w:rFonts w:ascii="Arial" w:cs="Arial" w:eastAsia="Arial" w:hAnsi="Arial"/>
                <w:sz w:val="16"/>
                <w:szCs w:val="16"/>
                <w:b w:val="1"/>
                <w:bCs w:val="1"/>
                <w:color w:val="auto"/>
              </w:rPr>
              <w:t>Alaskan Native or Native American</w:t>
            </w:r>
          </w:p>
        </w:tc>
        <w:tc>
          <w:tcPr>
            <w:tcW w:w="2300" w:type="dxa"/>
            <w:vAlign w:val="bottom"/>
            <w:tcBorders>
              <w:right w:val="single" w:sz="8" w:color="7D7D7D"/>
            </w:tcBorders>
          </w:tcPr>
          <w:p>
            <w:pPr>
              <w:spacing w:after="0"/>
              <w:rPr>
                <w:sz w:val="20"/>
                <w:szCs w:val="20"/>
                <w:color w:val="auto"/>
              </w:rPr>
            </w:pPr>
          </w:p>
        </w:tc>
        <w:tc>
          <w:tcPr>
            <w:tcW w:w="18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w:t>
            </w:r>
          </w:p>
        </w:tc>
        <w:tc>
          <w:tcPr>
            <w:tcW w:w="18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r>
      <w:tr>
        <w:trPr>
          <w:trHeight w:val="239"/>
        </w:trPr>
        <w:tc>
          <w:tcPr>
            <w:tcW w:w="3480" w:type="dxa"/>
            <w:vAlign w:val="bottom"/>
            <w:tcBorders>
              <w:lef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Asian</w:t>
            </w:r>
          </w:p>
        </w:tc>
        <w:tc>
          <w:tcPr>
            <w:tcW w:w="2300" w:type="dxa"/>
            <w:vAlign w:val="bottom"/>
            <w:tcBorders>
              <w:right w:val="single" w:sz="8" w:color="7D7D7D"/>
            </w:tcBorders>
            <w:shd w:val="clear" w:color="auto" w:fill="FAF6EF"/>
          </w:tcPr>
          <w:p>
            <w:pPr>
              <w:spacing w:after="0"/>
              <w:rPr>
                <w:sz w:val="20"/>
                <w:szCs w:val="20"/>
                <w:color w:val="auto"/>
              </w:rPr>
            </w:pPr>
          </w:p>
        </w:tc>
        <w:tc>
          <w:tcPr>
            <w:tcW w:w="18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8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89"/>
              </w:rPr>
              <w:t>1</w:t>
            </w:r>
          </w:p>
        </w:tc>
        <w:tc>
          <w:tcPr>
            <w:tcW w:w="18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r>
      <w:tr>
        <w:trPr>
          <w:trHeight w:val="232"/>
        </w:trPr>
        <w:tc>
          <w:tcPr>
            <w:tcW w:w="3480" w:type="dxa"/>
            <w:vAlign w:val="bottom"/>
            <w:tcBorders>
              <w:left w:val="single" w:sz="8" w:color="7D7D7D"/>
            </w:tcBorders>
          </w:tcPr>
          <w:p>
            <w:pPr>
              <w:ind w:left="120"/>
              <w:spacing w:after="0"/>
              <w:rPr>
                <w:sz w:val="20"/>
                <w:szCs w:val="20"/>
                <w:color w:val="auto"/>
              </w:rPr>
            </w:pPr>
            <w:r>
              <w:rPr>
                <w:rFonts w:ascii="Arial" w:cs="Arial" w:eastAsia="Arial" w:hAnsi="Arial"/>
                <w:sz w:val="16"/>
                <w:szCs w:val="16"/>
                <w:b w:val="1"/>
                <w:bCs w:val="1"/>
                <w:color w:val="auto"/>
              </w:rPr>
              <w:t>Hispanic or Latinx</w:t>
            </w:r>
          </w:p>
        </w:tc>
        <w:tc>
          <w:tcPr>
            <w:tcW w:w="2300" w:type="dxa"/>
            <w:vAlign w:val="bottom"/>
            <w:tcBorders>
              <w:right w:val="single" w:sz="8" w:color="7D7D7D"/>
            </w:tcBorders>
          </w:tcPr>
          <w:p>
            <w:pPr>
              <w:spacing w:after="0"/>
              <w:rPr>
                <w:sz w:val="20"/>
                <w:szCs w:val="20"/>
                <w:color w:val="auto"/>
              </w:rPr>
            </w:pPr>
          </w:p>
        </w:tc>
        <w:tc>
          <w:tcPr>
            <w:tcW w:w="18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w:t>
            </w:r>
          </w:p>
        </w:tc>
        <w:tc>
          <w:tcPr>
            <w:tcW w:w="18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89"/>
              </w:rPr>
              <w:t>1</w:t>
            </w: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r>
      <w:tr>
        <w:trPr>
          <w:trHeight w:val="239"/>
        </w:trPr>
        <w:tc>
          <w:tcPr>
            <w:tcW w:w="3480" w:type="dxa"/>
            <w:vAlign w:val="bottom"/>
            <w:tcBorders>
              <w:lef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Native Hawaiian or Pacific Islander</w:t>
            </w:r>
          </w:p>
        </w:tc>
        <w:tc>
          <w:tcPr>
            <w:tcW w:w="2300" w:type="dxa"/>
            <w:vAlign w:val="bottom"/>
            <w:tcBorders>
              <w:right w:val="single" w:sz="8" w:color="7D7D7D"/>
            </w:tcBorders>
            <w:shd w:val="clear" w:color="auto" w:fill="FAF6EF"/>
          </w:tcPr>
          <w:p>
            <w:pPr>
              <w:spacing w:after="0"/>
              <w:rPr>
                <w:sz w:val="20"/>
                <w:szCs w:val="20"/>
                <w:color w:val="auto"/>
              </w:rPr>
            </w:pPr>
          </w:p>
        </w:tc>
        <w:tc>
          <w:tcPr>
            <w:tcW w:w="18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8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r>
      <w:tr>
        <w:trPr>
          <w:trHeight w:val="232"/>
        </w:trPr>
        <w:tc>
          <w:tcPr>
            <w:tcW w:w="3480" w:type="dxa"/>
            <w:vAlign w:val="bottom"/>
            <w:tcBorders>
              <w:left w:val="single" w:sz="8" w:color="7D7D7D"/>
            </w:tcBorders>
          </w:tcPr>
          <w:p>
            <w:pPr>
              <w:ind w:left="120"/>
              <w:spacing w:after="0"/>
              <w:rPr>
                <w:sz w:val="20"/>
                <w:szCs w:val="20"/>
                <w:color w:val="auto"/>
              </w:rPr>
            </w:pPr>
            <w:r>
              <w:rPr>
                <w:rFonts w:ascii="Arial" w:cs="Arial" w:eastAsia="Arial" w:hAnsi="Arial"/>
                <w:sz w:val="16"/>
                <w:szCs w:val="16"/>
                <w:b w:val="1"/>
                <w:bCs w:val="1"/>
                <w:color w:val="auto"/>
              </w:rPr>
              <w:t>White</w:t>
            </w:r>
          </w:p>
        </w:tc>
        <w:tc>
          <w:tcPr>
            <w:tcW w:w="2300" w:type="dxa"/>
            <w:vAlign w:val="bottom"/>
            <w:tcBorders>
              <w:right w:val="single" w:sz="8" w:color="7D7D7D"/>
            </w:tcBorders>
          </w:tcPr>
          <w:p>
            <w:pPr>
              <w:spacing w:after="0"/>
              <w:rPr>
                <w:sz w:val="20"/>
                <w:szCs w:val="20"/>
                <w:color w:val="auto"/>
              </w:rPr>
            </w:pPr>
          </w:p>
        </w:tc>
        <w:tc>
          <w:tcPr>
            <w:tcW w:w="18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89"/>
              </w:rPr>
              <w:t>1</w:t>
            </w:r>
          </w:p>
        </w:tc>
        <w:tc>
          <w:tcPr>
            <w:tcW w:w="18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89"/>
              </w:rPr>
              <w:t>4</w:t>
            </w: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r>
      <w:tr>
        <w:trPr>
          <w:trHeight w:val="239"/>
        </w:trPr>
        <w:tc>
          <w:tcPr>
            <w:tcW w:w="3480" w:type="dxa"/>
            <w:vAlign w:val="bottom"/>
            <w:tcBorders>
              <w:lef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Two or More Races or Ethnicities</w:t>
            </w:r>
          </w:p>
        </w:tc>
        <w:tc>
          <w:tcPr>
            <w:tcW w:w="2300" w:type="dxa"/>
            <w:vAlign w:val="bottom"/>
            <w:tcBorders>
              <w:right w:val="single" w:sz="8" w:color="7D7D7D"/>
            </w:tcBorders>
            <w:shd w:val="clear" w:color="auto" w:fill="FAF6EF"/>
          </w:tcPr>
          <w:p>
            <w:pPr>
              <w:spacing w:after="0"/>
              <w:rPr>
                <w:sz w:val="20"/>
                <w:szCs w:val="20"/>
                <w:color w:val="auto"/>
              </w:rPr>
            </w:pPr>
          </w:p>
        </w:tc>
        <w:tc>
          <w:tcPr>
            <w:tcW w:w="18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8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r>
      <w:tr>
        <w:trPr>
          <w:trHeight w:val="235"/>
        </w:trPr>
        <w:tc>
          <w:tcPr>
            <w:tcW w:w="3480" w:type="dxa"/>
            <w:vAlign w:val="bottom"/>
            <w:tcBorders>
              <w:left w:val="single" w:sz="8" w:color="7D7D7D"/>
            </w:tcBorders>
          </w:tcPr>
          <w:p>
            <w:pPr>
              <w:ind w:left="120"/>
              <w:spacing w:after="0"/>
              <w:rPr>
                <w:sz w:val="20"/>
                <w:szCs w:val="20"/>
                <w:color w:val="auto"/>
              </w:rPr>
            </w:pPr>
            <w:r>
              <w:rPr>
                <w:rFonts w:ascii="Arial" w:cs="Arial" w:eastAsia="Arial" w:hAnsi="Arial"/>
                <w:sz w:val="16"/>
                <w:szCs w:val="16"/>
                <w:b w:val="1"/>
                <w:bCs w:val="1"/>
                <w:color w:val="auto"/>
              </w:rPr>
              <w:t>LGBTQ+</w:t>
            </w:r>
          </w:p>
        </w:tc>
        <w:tc>
          <w:tcPr>
            <w:tcW w:w="2300" w:type="dxa"/>
            <w:vAlign w:val="bottom"/>
            <w:tcBorders>
              <w:right w:val="single" w:sz="8" w:color="7D7D7D"/>
            </w:tcBorders>
          </w:tcPr>
          <w:p>
            <w:pPr>
              <w:spacing w:after="0"/>
              <w:rPr>
                <w:sz w:val="20"/>
                <w:szCs w:val="20"/>
                <w:color w:val="auto"/>
              </w:rPr>
            </w:pPr>
          </w:p>
        </w:tc>
        <w:tc>
          <w:tcPr>
            <w:tcW w:w="18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w:t>
            </w:r>
          </w:p>
        </w:tc>
        <w:tc>
          <w:tcPr>
            <w:tcW w:w="18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r>
      <w:tr>
        <w:trPr>
          <w:trHeight w:val="718"/>
        </w:trPr>
        <w:tc>
          <w:tcPr>
            <w:tcW w:w="3480" w:type="dxa"/>
            <w:vAlign w:val="bottom"/>
          </w:tcPr>
          <w:p>
            <w:pPr>
              <w:spacing w:after="0"/>
              <w:rPr>
                <w:sz w:val="24"/>
                <w:szCs w:val="24"/>
                <w:color w:val="auto"/>
              </w:rPr>
            </w:pPr>
          </w:p>
        </w:tc>
        <w:tc>
          <w:tcPr>
            <w:tcW w:w="4120" w:type="dxa"/>
            <w:vAlign w:val="bottom"/>
            <w:gridSpan w:val="2"/>
          </w:tcPr>
          <w:p>
            <w:pPr>
              <w:ind w:left="80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14</w:t>
            </w: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34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000" w:right="319" w:bottom="1440" w:gutter="0" w:footer="0" w:header="0"/>
        </w:sectPr>
      </w:pPr>
    </w:p>
    <w:bookmarkStart w:id="20" w:name="page21"/>
    <w:bookmarkEnd w:id="20"/>
    <w:p>
      <w:pPr>
        <w:spacing w:after="0"/>
        <w:rPr>
          <w:sz w:val="20"/>
          <w:szCs w:val="20"/>
          <w:color w:val="auto"/>
        </w:rPr>
      </w:pPr>
      <w:r>
        <w:rPr>
          <w:rFonts w:ascii="Arial" w:cs="Arial" w:eastAsia="Arial" w:hAnsi="Arial"/>
          <w:sz w:val="31"/>
          <w:szCs w:val="31"/>
          <w:b w:val="1"/>
          <w:bCs w:val="1"/>
          <w:color w:val="auto"/>
        </w:rPr>
        <w:t>Board Leadership Structure</w:t>
      </w:r>
    </w:p>
    <w:p>
      <w:pPr>
        <w:spacing w:after="0" w:line="2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October 2022, the Board appointed Mr. Gomo to serve as the independent Chair of the Board, in addition to serving as the Lead Independent Director. In his capacity as Chair of the Board, Mr. Gomo has the authority to, among other things, call and preside over Board meetings, including meetings of the independent directors, and establish the agenda for these meetings. Accordingly, the Chair of the Board has substantial ability to shape the work of the Board. The Board believes that having an independent Chair of the Board, separate from the CEO, reinforces the independence of the Board in its oversight of the business and affairs of Enphase. In addition, we believe that having an independent Chair of the Board creates an environment that is more conducive to objective evaluation and oversight of management’s performance, increasing management accountability and improving the ability of the Board to monitor whether management’s actions are in the best interests of Enphase and its stockholders. As a result, we believe that an independent Chair of the Board can enhance the effectiveness of the Board as a whole.</w:t>
      </w:r>
    </w:p>
    <w:p>
      <w:pPr>
        <w:spacing w:after="0" w:line="13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Board oversees the chief executive officer and other senior management in the competent and ethical operation of Enphase and seeks to ensure that the long-term interests of our stockholders are being served. Directors are expected to take a proactive and focused approach in order to ensure that we are committed to business success through the maintenance of high standards of responsibility and ethics.</w:t>
      </w:r>
    </w:p>
    <w:p>
      <w:pPr>
        <w:spacing w:after="0" w:line="199"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Role of the Board in Risk Oversight</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 Oversight</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the Board is responsible for monitoring and assessing strategic risk exposure, including a determination of the nature and level of risk appropriate for Enphase. The Audit Committee has the responsibility to consider and discuss our major financial and accounting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as well as the performance of our internal audit function. The Audit Committee responsibilities also include oversight of cybersecurity risk management, including an annual review of our IT security. The Nominating and Corporate Governance Committee oversees the risks associated with Board and corporate governance, director independence and our human capital and sustainability initiatives. The Compensation Committee assesses and monitors whether any of our compensation policies and programs has the potential to encourage excessive risk-taking. Each of our committees provides reports to the full Board on their oversight activities and escalates review of risk issues to the Board as appropriate. In addition, the Board meets with certain members of our executive team, including the heads of our different organizational functions, who discuss the risks and exposures involved in their respective areas of responsibility as well as any developments that could impact our risk profile or other aspects of our business. These reports from our executive team are designed to provide timely visibility to the Board and its committees about the identification and assessment of key risks, our risk mitigation strategies and ongoing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2023 Focus Areas</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During 2023, the Board and Audit Committee focused time and attention to cybersecurity and data privacy related risks, with the Audit Committee responsible for oversight of cybersecurity, data privacy and information security. To help with this, the Audit Committee established a cybersecurity subcommittee, which includes a board member with cybersecurity expertise, and holds regular meetings. During such meetings, this subcommittee has a dedicated agenda designed to assist the Audit Committee with its cybersecurity oversight and allow it to report to the full Board if necessary. The meetings involve presentations and reports from our management, security leadership and information security team, including updates on relevant cybersecurity threats faced by the company and steps we are taking to address them.</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Board, through the Nominating and Corporate Governance Committee, also continued its review, development and improvement of environmental and sustainability initiatives.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1" w:name="page22"/>
    <w:bookmarkEnd w:id="21"/>
    <w:p>
      <w:pPr>
        <w:spacing w:after="0"/>
        <w:rPr>
          <w:sz w:val="20"/>
          <w:szCs w:val="20"/>
          <w:color w:val="auto"/>
        </w:rPr>
      </w:pPr>
      <w:r>
        <w:rPr>
          <w:rFonts w:ascii="Arial" w:cs="Arial" w:eastAsia="Arial" w:hAnsi="Arial"/>
          <w:sz w:val="31"/>
          <w:szCs w:val="31"/>
          <w:b w:val="1"/>
          <w:bCs w:val="1"/>
          <w:color w:val="auto"/>
        </w:rPr>
        <w:t>Corporate Governance Guidelines</w:t>
      </w:r>
    </w:p>
    <w:p>
      <w:pPr>
        <w:spacing w:after="0" w:line="2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Board has adopted Corporate Governance Guidelines that outline the role and responsibilities of the Board and its various committees. Our Corporate Governance Guidelines are available on our website at </w:t>
      </w:r>
      <w:r>
        <w:rPr>
          <w:rFonts w:ascii="Arial" w:cs="Arial" w:eastAsia="Arial" w:hAnsi="Arial"/>
          <w:sz w:val="16"/>
          <w:szCs w:val="16"/>
          <w:i w:val="1"/>
          <w:iCs w:val="1"/>
          <w:color w:val="auto"/>
        </w:rPr>
        <w:t>https://investor.enphase.com/corporate-governance</w:t>
      </w:r>
      <w:r>
        <w:rPr>
          <w:rFonts w:ascii="Arial" w:cs="Arial" w:eastAsia="Arial" w:hAnsi="Arial"/>
          <w:sz w:val="16"/>
          <w:szCs w:val="16"/>
          <w:color w:val="auto"/>
        </w:rPr>
        <w:t>. Our Corporate Governance Guidelines ensure that the Board will have the necessary authority and practices in place to review and evaluate our business operations as needed and to make decisions that are independent of our management. Our Corporate Governance Guidelines are also intended to align the interests of directors and management with those of our stockholders. Our Corporate Governance Guidelines set forth the practices that the Board intends to follow with respect to board composition and selection, the role of the Board, director orientation and education, director compensation, board meetings and involvement of senior management, board committees, CEO performance evaluation, succession planning and board assessment.</w:t>
      </w:r>
    </w:p>
    <w:p>
      <w:pPr>
        <w:spacing w:after="0" w:line="20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Code of Conduct</w:t>
      </w:r>
    </w:p>
    <w:p>
      <w:pPr>
        <w:spacing w:after="0" w:line="26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We have adopted the Enphase Energy Code of Conduct (“Code of Conduct”) that applies to all officers, directors and employees. The Code of Conduct is available on our website at </w:t>
      </w:r>
      <w:r>
        <w:rPr>
          <w:rFonts w:ascii="Arial" w:cs="Arial" w:eastAsia="Arial" w:hAnsi="Arial"/>
          <w:sz w:val="16"/>
          <w:szCs w:val="16"/>
          <w:i w:val="1"/>
          <w:iCs w:val="1"/>
          <w:color w:val="auto"/>
        </w:rPr>
        <w:t>https://investor.enphase.com/corporate-governance</w:t>
      </w:r>
      <w:r>
        <w:rPr>
          <w:rFonts w:ascii="Arial" w:cs="Arial" w:eastAsia="Arial" w:hAnsi="Arial"/>
          <w:sz w:val="16"/>
          <w:szCs w:val="16"/>
          <w:color w:val="auto"/>
        </w:rPr>
        <w:t>. If we make any substantive amendments to the Code of Conduct or grant any waiver from a provision of the Code of Conduct to any executive officer or director, we intend to promptly disclose the nature of the amendment or waiver on our website.</w:t>
      </w:r>
    </w:p>
    <w:p>
      <w:pPr>
        <w:spacing w:after="0" w:line="191"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Environmental, Social and Governance</w:t>
      </w:r>
    </w:p>
    <w:p>
      <w:pPr>
        <w:spacing w:after="0" w:line="26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published our inaugural ESG report in January 2021 and intend to do so on an annual basis. Our ESG efforts are overseen by our General Counsel, with participation from a senior management committee, along with board-level oversight led by the Nominating and Corporate Governance Committee. The Board receives reports on sustainability and ESG matters from the Nominating and Corporate Governance Committee and senior management team at a minimum on an annual basis. The current ESG report is available in the ESG section of our website. Additional information about the role of the Nominating and Corporate Governance Committee can be found in its written charter, also available to stockholders on our website. Information contained on our website is not incorporated by reference into this proxy statement or any other report we file with the SEC.</w:t>
      </w:r>
    </w:p>
    <w:p>
      <w:pPr>
        <w:spacing w:after="0" w:line="13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believe that global warming and climate change present serious risk to the economic, environmental and social systems supporting human civilization. We create clean energy technologies for the world to help slow the pace of global warming, protect the environment, and accelerate the transition to a clean, accessible and resilient energy system. However, we also acknowledge that our ability to capitalize on climate opportunities continuously over the long term requires navigating climate risk successfully. We aim to align our climate change strategy disclosures in our ESG report with the recommendations of the Taskforce for Climate-Related Financial Disclosures and International Sustainability Standards Board reporting standards, given their rate of global uptake and integration with emerging ESG disclosure regulations.</w:t>
      </w:r>
    </w:p>
    <w:p>
      <w:pPr>
        <w:spacing w:after="0" w:line="209"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Meetings of the Board and Committees</w:t>
      </w:r>
    </w:p>
    <w:p>
      <w:pPr>
        <w:spacing w:after="0" w:line="26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Board met six times in 2023. Each director attended at least 75% of the aggregate number of meetings of the Board and of the committees on which he or she served during the portion of 2023 for which he or she was a director or committee member, except for Ms. Haenggi who attended 72% of Board and committee meetings during 2023.</w:t>
      </w:r>
    </w:p>
    <w:p>
      <w:pPr>
        <w:spacing w:after="0" w:line="207"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Information Regarding Committees of the Board</w:t>
      </w:r>
    </w:p>
    <w:p>
      <w:pPr>
        <w:spacing w:after="0" w:line="261"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The Board has three standing committees: an Audit Committee, a Compensation Committee and a Nominating and Corporate Governance Committee, each of which has the composition and responsibilities described below. All directors on the Board also participate on the Strategic Committee, which was established by the Board to consider and make recommendations regarding issues impacting our strategic direction, with participation from management, from time to time.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2" w:name="page23"/>
    <w:bookmarkEnd w:id="22"/>
    <w:p>
      <w:pPr>
        <w:spacing w:after="0"/>
        <w:rPr>
          <w:sz w:val="20"/>
          <w:szCs w:val="20"/>
          <w:color w:val="auto"/>
        </w:rPr>
      </w:pPr>
      <w:r>
        <w:rPr>
          <w:rFonts w:ascii="Arial" w:cs="Arial" w:eastAsia="Arial" w:hAnsi="Arial"/>
          <w:sz w:val="21"/>
          <w:szCs w:val="21"/>
          <w:b w:val="1"/>
          <w:bCs w:val="1"/>
          <w:color w:val="auto"/>
        </w:rPr>
        <w:t>Audit Committee</w:t>
      </w:r>
    </w:p>
    <w:p>
      <w:pPr>
        <w:spacing w:after="0" w:line="125"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The Audit Committee was established by the Board in accordance with Section 3(a)(58)(A) of the Exchange Act, to monitor and oversee our corporate accounting and financial reporting processes and audits of its financial statements. For this purpose, the Audit Committee, among other things:</w:t>
      </w:r>
    </w:p>
    <w:p>
      <w:pPr>
        <w:spacing w:after="0" w:line="114" w:lineRule="exact"/>
        <w:rPr>
          <w:sz w:val="20"/>
          <w:szCs w:val="20"/>
          <w:color w:val="auto"/>
        </w:rPr>
      </w:pPr>
    </w:p>
    <w:p>
      <w:pPr>
        <w:ind w:left="300" w:hanging="139"/>
        <w:spacing w:after="0"/>
        <w:tabs>
          <w:tab w:leader="none" w:pos="300" w:val="left"/>
        </w:tabs>
        <w:numPr>
          <w:ilvl w:val="0"/>
          <w:numId w:val="18"/>
        </w:numPr>
        <w:rPr>
          <w:rFonts w:ascii="Arial" w:cs="Arial" w:eastAsia="Arial" w:hAnsi="Arial"/>
          <w:sz w:val="12"/>
          <w:szCs w:val="12"/>
          <w:color w:val="auto"/>
        </w:rPr>
      </w:pPr>
      <w:r>
        <w:rPr>
          <w:rFonts w:ascii="Arial" w:cs="Arial" w:eastAsia="Arial" w:hAnsi="Arial"/>
          <w:sz w:val="16"/>
          <w:szCs w:val="16"/>
          <w:color w:val="auto"/>
        </w:rPr>
        <w:t>evaluates the performance of and assesses the qualifications of the independent auditors;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8"/>
        </w:numPr>
        <w:rPr>
          <w:rFonts w:ascii="Arial" w:cs="Arial" w:eastAsia="Arial" w:hAnsi="Arial"/>
          <w:sz w:val="12"/>
          <w:szCs w:val="12"/>
          <w:color w:val="auto"/>
        </w:rPr>
      </w:pPr>
      <w:r>
        <w:rPr>
          <w:rFonts w:ascii="Arial" w:cs="Arial" w:eastAsia="Arial" w:hAnsi="Arial"/>
          <w:sz w:val="16"/>
          <w:szCs w:val="16"/>
          <w:color w:val="auto"/>
        </w:rPr>
        <w:t>determines and approves the scope of engagement and compensation of the independent auditors;</w:t>
      </w:r>
    </w:p>
    <w:p>
      <w:pPr>
        <w:spacing w:after="0" w:line="77" w:lineRule="exact"/>
        <w:rPr>
          <w:rFonts w:ascii="Arial" w:cs="Arial" w:eastAsia="Arial" w:hAnsi="Arial"/>
          <w:sz w:val="12"/>
          <w:szCs w:val="12"/>
          <w:color w:val="auto"/>
        </w:rPr>
      </w:pPr>
    </w:p>
    <w:p>
      <w:pPr>
        <w:ind w:left="300" w:hanging="139"/>
        <w:spacing w:after="0"/>
        <w:tabs>
          <w:tab w:leader="none" w:pos="300" w:val="left"/>
        </w:tabs>
        <w:numPr>
          <w:ilvl w:val="0"/>
          <w:numId w:val="18"/>
        </w:numPr>
        <w:rPr>
          <w:rFonts w:ascii="Arial" w:cs="Arial" w:eastAsia="Arial" w:hAnsi="Arial"/>
          <w:sz w:val="12"/>
          <w:szCs w:val="12"/>
          <w:color w:val="auto"/>
        </w:rPr>
      </w:pPr>
      <w:r>
        <w:rPr>
          <w:rFonts w:ascii="Arial" w:cs="Arial" w:eastAsia="Arial" w:hAnsi="Arial"/>
          <w:sz w:val="16"/>
          <w:szCs w:val="16"/>
          <w:color w:val="auto"/>
        </w:rPr>
        <w:t>confers with management and the independent auditors regarding the effectiveness of internal controls over financial reporting; and</w:t>
      </w:r>
    </w:p>
    <w:p>
      <w:pPr>
        <w:spacing w:after="0" w:line="90" w:lineRule="exact"/>
        <w:rPr>
          <w:rFonts w:ascii="Arial" w:cs="Arial" w:eastAsia="Arial" w:hAnsi="Arial"/>
          <w:sz w:val="12"/>
          <w:szCs w:val="12"/>
          <w:color w:val="auto"/>
        </w:rPr>
      </w:pPr>
    </w:p>
    <w:p>
      <w:pPr>
        <w:ind w:left="320" w:right="180" w:hanging="159"/>
        <w:spacing w:after="0" w:line="318" w:lineRule="auto"/>
        <w:tabs>
          <w:tab w:leader="none" w:pos="297" w:val="left"/>
        </w:tabs>
        <w:numPr>
          <w:ilvl w:val="0"/>
          <w:numId w:val="18"/>
        </w:numPr>
        <w:rPr>
          <w:rFonts w:ascii="Arial" w:cs="Arial" w:eastAsia="Arial" w:hAnsi="Arial"/>
          <w:sz w:val="12"/>
          <w:szCs w:val="12"/>
          <w:color w:val="auto"/>
        </w:rPr>
      </w:pPr>
      <w:r>
        <w:rPr>
          <w:rFonts w:ascii="Arial" w:cs="Arial" w:eastAsia="Arial" w:hAnsi="Arial"/>
          <w:sz w:val="16"/>
          <w:szCs w:val="16"/>
          <w:color w:val="auto"/>
        </w:rPr>
        <w:t>establishes procedures, as required by law, for the receipt, retention and treatment of complaints regarding accounting, internal accounting controls or audit matters.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also has the following responsibilities:</w:t>
      </w:r>
    </w:p>
    <w:p>
      <w:pPr>
        <w:spacing w:after="0" w:line="195" w:lineRule="exact"/>
        <w:rPr>
          <w:sz w:val="20"/>
          <w:szCs w:val="20"/>
          <w:color w:val="auto"/>
        </w:rPr>
      </w:pPr>
    </w:p>
    <w:p>
      <w:pPr>
        <w:ind w:left="300" w:hanging="139"/>
        <w:spacing w:after="0"/>
        <w:tabs>
          <w:tab w:leader="none" w:pos="300" w:val="left"/>
        </w:tabs>
        <w:numPr>
          <w:ilvl w:val="0"/>
          <w:numId w:val="19"/>
        </w:numPr>
        <w:rPr>
          <w:rFonts w:ascii="Arial" w:cs="Arial" w:eastAsia="Arial" w:hAnsi="Arial"/>
          <w:sz w:val="12"/>
          <w:szCs w:val="12"/>
          <w:color w:val="auto"/>
        </w:rPr>
      </w:pPr>
      <w:r>
        <w:rPr>
          <w:rFonts w:ascii="Arial" w:cs="Arial" w:eastAsia="Arial" w:hAnsi="Arial"/>
          <w:sz w:val="16"/>
          <w:szCs w:val="16"/>
          <w:color w:val="auto"/>
        </w:rPr>
        <w:t>determining whether to retain or terminate the existing independent auditors or to appoint and engage new independent auditors;</w:t>
      </w:r>
    </w:p>
    <w:p>
      <w:pPr>
        <w:spacing w:after="0" w:line="77" w:lineRule="exact"/>
        <w:rPr>
          <w:rFonts w:ascii="Arial" w:cs="Arial" w:eastAsia="Arial" w:hAnsi="Arial"/>
          <w:sz w:val="12"/>
          <w:szCs w:val="12"/>
          <w:color w:val="auto"/>
        </w:rPr>
      </w:pPr>
    </w:p>
    <w:p>
      <w:pPr>
        <w:ind w:left="300" w:hanging="139"/>
        <w:spacing w:after="0"/>
        <w:tabs>
          <w:tab w:leader="none" w:pos="300" w:val="left"/>
        </w:tabs>
        <w:numPr>
          <w:ilvl w:val="0"/>
          <w:numId w:val="19"/>
        </w:numPr>
        <w:rPr>
          <w:rFonts w:ascii="Arial" w:cs="Arial" w:eastAsia="Arial" w:hAnsi="Arial"/>
          <w:sz w:val="12"/>
          <w:szCs w:val="12"/>
          <w:color w:val="auto"/>
        </w:rPr>
      </w:pPr>
      <w:r>
        <w:rPr>
          <w:rFonts w:ascii="Arial" w:cs="Arial" w:eastAsia="Arial" w:hAnsi="Arial"/>
          <w:sz w:val="16"/>
          <w:szCs w:val="16"/>
          <w:color w:val="auto"/>
        </w:rPr>
        <w:t>reviewing and approving the retention of the independent auditors to perform any proposed permissible non-audit services;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9"/>
        </w:numPr>
        <w:rPr>
          <w:rFonts w:ascii="Arial" w:cs="Arial" w:eastAsia="Arial" w:hAnsi="Arial"/>
          <w:sz w:val="12"/>
          <w:szCs w:val="12"/>
          <w:color w:val="auto"/>
        </w:rPr>
      </w:pPr>
      <w:r>
        <w:rPr>
          <w:rFonts w:ascii="Arial" w:cs="Arial" w:eastAsia="Arial" w:hAnsi="Arial"/>
          <w:sz w:val="16"/>
          <w:szCs w:val="16"/>
          <w:color w:val="auto"/>
        </w:rPr>
        <w:t>reviewing and approving or rejecting related-party transactions;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9"/>
        </w:numPr>
        <w:rPr>
          <w:rFonts w:ascii="Arial" w:cs="Arial" w:eastAsia="Arial" w:hAnsi="Arial"/>
          <w:sz w:val="12"/>
          <w:szCs w:val="12"/>
          <w:color w:val="auto"/>
        </w:rPr>
      </w:pPr>
      <w:r>
        <w:rPr>
          <w:rFonts w:ascii="Arial" w:cs="Arial" w:eastAsia="Arial" w:hAnsi="Arial"/>
          <w:sz w:val="16"/>
          <w:szCs w:val="16"/>
          <w:color w:val="auto"/>
        </w:rPr>
        <w:t>oversight of cybersecurity risks;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9"/>
        </w:numPr>
        <w:rPr>
          <w:rFonts w:ascii="Arial" w:cs="Arial" w:eastAsia="Arial" w:hAnsi="Arial"/>
          <w:sz w:val="12"/>
          <w:szCs w:val="12"/>
          <w:color w:val="auto"/>
        </w:rPr>
      </w:pPr>
      <w:r>
        <w:rPr>
          <w:rFonts w:ascii="Arial" w:cs="Arial" w:eastAsia="Arial" w:hAnsi="Arial"/>
          <w:sz w:val="16"/>
          <w:szCs w:val="16"/>
          <w:color w:val="auto"/>
        </w:rPr>
        <w:t>oversight of our enterprise risk management program; and</w:t>
      </w:r>
    </w:p>
    <w:p>
      <w:pPr>
        <w:spacing w:after="0" w:line="90" w:lineRule="exact"/>
        <w:rPr>
          <w:rFonts w:ascii="Arial" w:cs="Arial" w:eastAsia="Arial" w:hAnsi="Arial"/>
          <w:sz w:val="12"/>
          <w:szCs w:val="12"/>
          <w:color w:val="auto"/>
        </w:rPr>
      </w:pPr>
    </w:p>
    <w:p>
      <w:pPr>
        <w:jc w:val="both"/>
        <w:ind w:left="320" w:right="100" w:hanging="159"/>
        <w:spacing w:after="0" w:line="295" w:lineRule="auto"/>
        <w:tabs>
          <w:tab w:leader="none" w:pos="297" w:val="left"/>
        </w:tabs>
        <w:numPr>
          <w:ilvl w:val="0"/>
          <w:numId w:val="19"/>
        </w:numPr>
        <w:rPr>
          <w:rFonts w:ascii="Arial" w:cs="Arial" w:eastAsia="Arial" w:hAnsi="Arial"/>
          <w:sz w:val="12"/>
          <w:szCs w:val="12"/>
          <w:color w:val="auto"/>
        </w:rPr>
      </w:pPr>
      <w:r>
        <w:rPr>
          <w:rFonts w:ascii="Arial" w:cs="Arial" w:eastAsia="Arial" w:hAnsi="Arial"/>
          <w:sz w:val="16"/>
          <w:szCs w:val="16"/>
          <w:color w:val="auto"/>
        </w:rPr>
        <w:t>reviewing and discussing with management and the independent registered public accounting firm our annual audited and quarterly financial statements, the results of the independent audit and the quarterly reviews, and the reports and certifications regarding internal control over financial reporting and disclosure controls.</w:t>
      </w:r>
    </w:p>
    <w:p>
      <w:pPr>
        <w:spacing w:after="0" w:line="132" w:lineRule="exact"/>
        <w:rPr>
          <w:sz w:val="20"/>
          <w:szCs w:val="20"/>
          <w:color w:val="auto"/>
        </w:rPr>
      </w:pPr>
    </w:p>
    <w:p>
      <w:pPr>
        <w:jc w:val="both"/>
        <w:spacing w:after="0" w:line="355" w:lineRule="auto"/>
        <w:rPr>
          <w:sz w:val="20"/>
          <w:szCs w:val="20"/>
          <w:color w:val="auto"/>
        </w:rPr>
      </w:pPr>
      <w:r>
        <w:rPr>
          <w:rFonts w:ascii="Arial" w:cs="Arial" w:eastAsia="Arial" w:hAnsi="Arial"/>
          <w:sz w:val="15"/>
          <w:szCs w:val="15"/>
          <w:color w:val="auto"/>
        </w:rPr>
        <w:t xml:space="preserve">The Audit Committee is composed of three directors: Messrs. Gomo, Kortlang and Mora. The Audit Committee met five times in 2023. The Audit Committee has adopted a written charter, which is reviewed annually, and is available to stockholders on our website at </w:t>
      </w:r>
      <w:r>
        <w:rPr>
          <w:rFonts w:ascii="Arial" w:cs="Arial" w:eastAsia="Arial" w:hAnsi="Arial"/>
          <w:sz w:val="15"/>
          <w:szCs w:val="15"/>
          <w:i w:val="1"/>
          <w:iCs w:val="1"/>
          <w:color w:val="auto"/>
        </w:rPr>
        <w:t>https://investor.enphase.com/corporate-governance</w:t>
      </w:r>
      <w:r>
        <w:rPr>
          <w:rFonts w:ascii="Arial" w:cs="Arial" w:eastAsia="Arial" w:hAnsi="Arial"/>
          <w:sz w:val="15"/>
          <w:szCs w:val="15"/>
          <w:color w:val="auto"/>
        </w:rPr>
        <w:t>.</w:t>
      </w:r>
    </w:p>
    <w:p>
      <w:pPr>
        <w:spacing w:after="0" w:line="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Board reviews the Nasdaq listing standards definition of independence for Audit Committee members on an annual basis and has determined that all members of the Audit Committee are independent, as required by Rule 5605(c)(2)(A)(i) and (ii) of the Nasdaq listing standards.</w:t>
      </w:r>
    </w:p>
    <w:p>
      <w:pPr>
        <w:spacing w:after="0" w:line="12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Board has determined that each member of the Audit Committee can read and understand fundamental financial statements in accordance with applicable requirements. The Board has also determined that Messrs. Gomo and Mora each qualify as an “audit committee financial expert,” as defined in SEC rules. The Board made a qualitative assessment of their level of knowledge and experience based on a number of factors, including formal education, experience as a chief financial officer for public reporting companies or experience as a chief executive officer with financial oversight responsibilities.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Committee</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Compensation Committee is composed of two directors: Messrs. Mora and Rodgers. All members of the Compensation Committee have been and are “independent,” as required by Rules 5605(a)(2) and 5605(d)(2) of the Nasdaq listing standards. The Compensation Committee met six times in 2023. The Compensation Committee has adopted a written charter, which is reviewed annually, and is available to stockholders on our website at </w:t>
      </w:r>
      <w:r>
        <w:rPr>
          <w:rFonts w:ascii="Arial" w:cs="Arial" w:eastAsia="Arial" w:hAnsi="Arial"/>
          <w:sz w:val="16"/>
          <w:szCs w:val="16"/>
          <w:i w:val="1"/>
          <w:iCs w:val="1"/>
          <w:color w:val="auto"/>
        </w:rPr>
        <w:t>https://investor.enphase.com/corporate-governance</w:t>
      </w:r>
      <w:r>
        <w:rPr>
          <w:rFonts w:ascii="Arial" w:cs="Arial" w:eastAsia="Arial" w:hAnsi="Arial"/>
          <w:sz w:val="16"/>
          <w:szCs w:val="16"/>
          <w:color w:val="auto"/>
        </w:rPr>
        <w:t>.</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Compensation Committee acts on behalf of the Board to review and adopt, or recommend to the Board for adoption, and oversee our compensation strategy, policies, plans and programs, including:</w:t>
      </w:r>
    </w:p>
    <w:p>
      <w:pPr>
        <w:spacing w:after="0" w:line="127" w:lineRule="exact"/>
        <w:rPr>
          <w:sz w:val="20"/>
          <w:szCs w:val="20"/>
          <w:color w:val="auto"/>
        </w:rPr>
      </w:pPr>
    </w:p>
    <w:p>
      <w:pPr>
        <w:ind w:left="300" w:hanging="139"/>
        <w:spacing w:after="0"/>
        <w:tabs>
          <w:tab w:leader="none" w:pos="300" w:val="left"/>
        </w:tabs>
        <w:numPr>
          <w:ilvl w:val="0"/>
          <w:numId w:val="20"/>
        </w:numPr>
        <w:rPr>
          <w:rFonts w:ascii="Arial" w:cs="Arial" w:eastAsia="Arial" w:hAnsi="Arial"/>
          <w:sz w:val="12"/>
          <w:szCs w:val="12"/>
          <w:color w:val="auto"/>
        </w:rPr>
      </w:pPr>
      <w:r>
        <w:rPr>
          <w:rFonts w:ascii="Arial" w:cs="Arial" w:eastAsia="Arial" w:hAnsi="Arial"/>
          <w:sz w:val="16"/>
          <w:szCs w:val="16"/>
          <w:color w:val="auto"/>
        </w:rPr>
        <w:t>approving or recommending to the Board the approval of compensation and other terms of employment of our executive officers;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20"/>
        </w:numPr>
        <w:rPr>
          <w:rFonts w:ascii="Arial" w:cs="Arial" w:eastAsia="Arial" w:hAnsi="Arial"/>
          <w:sz w:val="12"/>
          <w:szCs w:val="12"/>
          <w:color w:val="auto"/>
        </w:rPr>
      </w:pPr>
      <w:r>
        <w:rPr>
          <w:rFonts w:ascii="Arial" w:cs="Arial" w:eastAsia="Arial" w:hAnsi="Arial"/>
          <w:sz w:val="16"/>
          <w:szCs w:val="16"/>
          <w:color w:val="auto"/>
        </w:rPr>
        <w:t>reviewing and approving performance goals and objectives relevant to the compensation of our executive officers;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3" w:name="page24"/>
    <w:bookmarkEnd w:id="23"/>
    <w:p>
      <w:pPr>
        <w:ind w:left="320" w:right="280" w:hanging="159"/>
        <w:spacing w:after="0" w:line="318" w:lineRule="auto"/>
        <w:tabs>
          <w:tab w:leader="none" w:pos="297" w:val="left"/>
        </w:tabs>
        <w:numPr>
          <w:ilvl w:val="0"/>
          <w:numId w:val="21"/>
        </w:numPr>
        <w:rPr>
          <w:rFonts w:ascii="Arial" w:cs="Arial" w:eastAsia="Arial" w:hAnsi="Arial"/>
          <w:sz w:val="12"/>
          <w:szCs w:val="12"/>
          <w:color w:val="auto"/>
        </w:rPr>
      </w:pPr>
      <w:r>
        <w:rPr>
          <w:rFonts w:ascii="Arial" w:cs="Arial" w:eastAsia="Arial" w:hAnsi="Arial"/>
          <w:sz w:val="16"/>
          <w:szCs w:val="16"/>
          <w:color w:val="auto"/>
        </w:rPr>
        <w:t>evaluating and recommending to the Board the approval of compensation plans and programs, as well as modification or termination of existing plans and programs;</w:t>
      </w:r>
    </w:p>
    <w:p>
      <w:pPr>
        <w:spacing w:after="0" w:line="9" w:lineRule="exact"/>
        <w:rPr>
          <w:rFonts w:ascii="Arial" w:cs="Arial" w:eastAsia="Arial" w:hAnsi="Arial"/>
          <w:sz w:val="12"/>
          <w:szCs w:val="12"/>
          <w:color w:val="auto"/>
        </w:rPr>
      </w:pPr>
    </w:p>
    <w:p>
      <w:pPr>
        <w:ind w:left="300" w:hanging="139"/>
        <w:spacing w:after="0"/>
        <w:tabs>
          <w:tab w:leader="none" w:pos="300" w:val="left"/>
        </w:tabs>
        <w:numPr>
          <w:ilvl w:val="0"/>
          <w:numId w:val="21"/>
        </w:numPr>
        <w:rPr>
          <w:rFonts w:ascii="Arial" w:cs="Arial" w:eastAsia="Arial" w:hAnsi="Arial"/>
          <w:sz w:val="12"/>
          <w:szCs w:val="12"/>
          <w:color w:val="auto"/>
        </w:rPr>
      </w:pPr>
      <w:r>
        <w:rPr>
          <w:rFonts w:ascii="Arial" w:cs="Arial" w:eastAsia="Arial" w:hAnsi="Arial"/>
          <w:sz w:val="16"/>
          <w:szCs w:val="16"/>
          <w:color w:val="auto"/>
        </w:rPr>
        <w:t>reviewing and approving to the Board the type and amount of compensation to be paid or awarded to Board members;</w:t>
      </w:r>
    </w:p>
    <w:p>
      <w:pPr>
        <w:spacing w:after="0" w:line="77" w:lineRule="exact"/>
        <w:rPr>
          <w:rFonts w:ascii="Arial" w:cs="Arial" w:eastAsia="Arial" w:hAnsi="Arial"/>
          <w:sz w:val="12"/>
          <w:szCs w:val="12"/>
          <w:color w:val="auto"/>
        </w:rPr>
      </w:pPr>
    </w:p>
    <w:p>
      <w:pPr>
        <w:ind w:left="300" w:hanging="139"/>
        <w:spacing w:after="0"/>
        <w:tabs>
          <w:tab w:leader="none" w:pos="300" w:val="left"/>
        </w:tabs>
        <w:numPr>
          <w:ilvl w:val="0"/>
          <w:numId w:val="21"/>
        </w:numPr>
        <w:rPr>
          <w:rFonts w:ascii="Arial" w:cs="Arial" w:eastAsia="Arial" w:hAnsi="Arial"/>
          <w:sz w:val="12"/>
          <w:szCs w:val="12"/>
          <w:color w:val="auto"/>
        </w:rPr>
      </w:pPr>
      <w:r>
        <w:rPr>
          <w:rFonts w:ascii="Arial" w:cs="Arial" w:eastAsia="Arial" w:hAnsi="Arial"/>
          <w:sz w:val="16"/>
          <w:szCs w:val="16"/>
          <w:color w:val="auto"/>
        </w:rPr>
        <w:t>administering our equity incentive plans;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21"/>
        </w:numPr>
        <w:rPr>
          <w:rFonts w:ascii="Arial" w:cs="Arial" w:eastAsia="Arial" w:hAnsi="Arial"/>
          <w:sz w:val="12"/>
          <w:szCs w:val="12"/>
          <w:color w:val="auto"/>
        </w:rPr>
      </w:pPr>
      <w:r>
        <w:rPr>
          <w:rFonts w:ascii="Arial" w:cs="Arial" w:eastAsia="Arial" w:hAnsi="Arial"/>
          <w:sz w:val="16"/>
          <w:szCs w:val="16"/>
          <w:color w:val="auto"/>
        </w:rPr>
        <w:t>establishing policies with respect to equity compensation arrangements; and</w:t>
      </w:r>
    </w:p>
    <w:p>
      <w:pPr>
        <w:spacing w:after="0" w:line="90" w:lineRule="exact"/>
        <w:rPr>
          <w:rFonts w:ascii="Arial" w:cs="Arial" w:eastAsia="Arial" w:hAnsi="Arial"/>
          <w:sz w:val="12"/>
          <w:szCs w:val="12"/>
          <w:color w:val="auto"/>
        </w:rPr>
      </w:pPr>
    </w:p>
    <w:p>
      <w:pPr>
        <w:ind w:left="320" w:right="360" w:hanging="159"/>
        <w:spacing w:after="0" w:line="318" w:lineRule="auto"/>
        <w:tabs>
          <w:tab w:leader="none" w:pos="297" w:val="left"/>
        </w:tabs>
        <w:numPr>
          <w:ilvl w:val="0"/>
          <w:numId w:val="21"/>
        </w:numPr>
        <w:rPr>
          <w:rFonts w:ascii="Arial" w:cs="Arial" w:eastAsia="Arial" w:hAnsi="Arial"/>
          <w:sz w:val="12"/>
          <w:szCs w:val="12"/>
          <w:color w:val="auto"/>
        </w:rPr>
      </w:pPr>
      <w:r>
        <w:rPr>
          <w:rFonts w:ascii="Arial" w:cs="Arial" w:eastAsia="Arial" w:hAnsi="Arial"/>
          <w:sz w:val="16"/>
          <w:szCs w:val="16"/>
          <w:color w:val="auto"/>
        </w:rPr>
        <w:t>reviewing and approving the terms of any employment agreements, severance arrangements, change in control protections and any other compensatory arrangements for our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Committee Processes and Procedures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agenda for each meeting is usually developed by the Chair of the Compensation Committee, in consultation with our CEO and senior vice president of human resources. The Compensation Committee meets periodically in executive session, without management.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CEO does not participate in, and is not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as well as authority to obtain, at the expense of Enphase, advice and assistance from internal and external legal, accounting or other advisors and consultants and other external resources that the Compensation Committee considers necessary or appropriate in the performance of its duties. In particular, the Compensation Committee has the sole authority to retain compensation consultants to assist in its evaluation of executive and director compensation, including the authority to approve the consultant’s independence, reasonable fees and other retention terms.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Nominating and Corporate Governance Committee</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Nominating and Corporate Governance Committee is responsible for identifying, reviewing and evaluating candidates to serve as directors (consistent with criteria approved by the Board), reviewing and evaluating incumbent directors, recommending to the Board for selection candidates for election to the Board, making recommendations to the Board regarding the membership of the committees of the Board, assessing the performance of the Board, and developing a set of corporate governance principles. The Nominating and Corporate Governance Committee is also responsible for overseeing our ESG strategy, initiatives and policies, including communications with employees, investors and other stakeholders.</w:t>
      </w:r>
    </w:p>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The Nominating and Corporate Governance Committee is composed of three directors: Messrs. Kortlang and Rodgers and Ms. Haenggi. All members of the Nominating and Corporate Governance Committee are independent (as independence is defined in Rule 5605(a)(2) of the Nasdaq listing standards). The Nominating and Corporate Governance Committee met five times in 2023, and Nominating and Corporate Governance Committee business was also discussed from time to time during meetings of the Board. The Nominating and Corporate Governance Committee has adopted a written charter, which is reviewed annually, and is available to stockholders on our website at </w:t>
      </w:r>
      <w:r>
        <w:rPr>
          <w:rFonts w:ascii="Arial" w:cs="Arial" w:eastAsia="Arial" w:hAnsi="Arial"/>
          <w:sz w:val="16"/>
          <w:szCs w:val="16"/>
          <w:i w:val="1"/>
          <w:iCs w:val="1"/>
          <w:color w:val="auto"/>
        </w:rPr>
        <w:t>https://investor.enphase.com/corporate-governance</w:t>
      </w:r>
      <w:r>
        <w:rPr>
          <w:rFonts w:ascii="Arial" w:cs="Arial" w:eastAsia="Arial" w:hAnsi="Arial"/>
          <w:sz w:val="16"/>
          <w:szCs w:val="16"/>
          <w:color w:val="auto"/>
        </w:rPr>
        <w:t>.</w:t>
      </w:r>
    </w:p>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Nominating and Corporate Governance Committee believes that candidates for director should have certain minimum qualifications, including: having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Enphase, having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Candidates for director are reviewed in the context of the current composition of the Board, our operating requirements and the long-term interests of stockholders. In conducting this assessment, the Nominating and Corporate Governance Committee typically considers diversity, age, skills and such other factors as it deems appropriate given the current needs of the Board, to maintain a balance of knowledge, experience and capability. This process is designed to follow the guiding principle that the composition of the Board should reflect a diversity of thought, backgrounds, skills, experiences and expertise, and a range of tenures that are appropriate given our current and anticipated circumstances. Consistent with this philosophy, in addition to the criteria set forth above and subject to the rights of any third party to designate a director, the Nominating and Corporate Governance Committee will ensure each pool of qualified candidates for additional or vacant Board positions from which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4" w:name="page25"/>
    <w:bookmarkEnd w:id="24"/>
    <w:p>
      <w:pPr>
        <w:jc w:val="both"/>
        <w:spacing w:after="0" w:line="292" w:lineRule="auto"/>
        <w:rPr>
          <w:sz w:val="20"/>
          <w:szCs w:val="20"/>
          <w:color w:val="auto"/>
        </w:rPr>
      </w:pPr>
      <w:r>
        <w:rPr>
          <w:rFonts w:ascii="Arial" w:cs="Arial" w:eastAsia="Arial" w:hAnsi="Arial"/>
          <w:sz w:val="16"/>
          <w:szCs w:val="16"/>
          <w:color w:val="auto"/>
        </w:rPr>
        <w:t>Board nominees are chosen includes candidates who bring racial and/or gender diversity. The Nominating and Corporate Governance Committee then uses its network of contacts to compile a list of potential candidates, but may also engage, as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3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Nominating and Corporate Governance Committee is committed to identifying qualified candidates of diverse qualities and backgrounds, including candidates who are women and/or candidates from underrepresented groups. In furtherance of this commitment, the Nominating and Corporate Governance Committee will proactively include candidates who are women and/or candidates from underrepresented groups in the initial list of candidates from which it will select prospective director candidates in each future director search and will require that any search firm it may engage to assist with a director search do the same.</w:t>
      </w:r>
    </w:p>
    <w:p>
      <w:pPr>
        <w:spacing w:after="0" w:line="11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the case of incumbent directors whose terms of office are set to expire, the Nominating and Corporate Governance Committee reviews these directors’ overall service during their terms, including the number of meetings attended, level of participation, quality of performance and any relationships and transactions that might impair the directors’ independence. In the case of new director candidates, the Nominating and Corporate Governance Committee also determines whether the nominee is independent for Nasdaq purposes, which determination is based upon Nasdaq listing standards, SEC rules and regulations and the advice of counsel, if necessary.</w:t>
      </w:r>
    </w:p>
    <w:p>
      <w:pPr>
        <w:spacing w:after="0" w:line="1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Nominating and Corporate Governance Committee, to date, has not adopted a formal policy with regard to the consideration of director candidates recommended by stockholders and will consider director candidates recommended by stockholders on a case-by-case basis, as appropriate. The Nominating and Corporate Governance Committee believes that it is in the best position to identify, review, evaluate and select qualified candidates for Board membership, based on the comprehensive criteria for Board membership approved by the Board. The Nominating and Corporate Governance Committee does not intend to alter the manner in which it evaluates candidates, including the minimum criteria set forth above, based on whether the candidate was recommended by a stockholder. The Board amended our Amended and Restated Bylaws (as amended, the “Bylaws”), effective April 6, 2022, in order to implement proxy access. Pursuant to the proxy access provision, a stockholder or a group of no more than twenty (20) stockholders owning three percent (3%) or more of the voting power of the our outstanding capital stock continuously for at least three (3) years may nominate, and include in our proxy statement for an annual meeting, director nominees constituting up to the greater of two (2) individuals or twenty percent (20%) of the number of directors in office, provided that the stockholders satisfy the requirements specified in the Bylaws.</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date, the Nominating and Corporate Governance Committee has not received any such nominations, nor has it rejected a director nominee from a stockholder or stockholders holding more than 5% of our voting stock. Stockholders who wish to recommend individuals for consideration by the Nominating and Corporate Governance Committee to become nominees for election to the Board may do so by delivering a written recommendation to our Corporate Secretary at the following address: 47281 Bayside Parkway, Fremont, CA 94538, at least 120 days prior to the anniversary date of the mailing of our proxy statement for the last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stock and has been a holder for at least one year. Any such submission must be accompanied by the written consent of the proposed nominee to be named as a nominee and to serve as a director if elected.</w:t>
      </w:r>
    </w:p>
    <w:p>
      <w:pPr>
        <w:spacing w:after="0" w:line="21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Board and Committee Evaluations</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Board and its principal committees perform an annual self-assessment to foster a culture of accountability for performance and continuous improvement so that the Board is able to meet its strategic objectives. The annual evaluation process provides the Board with valuable insight regarding areas where the Board believes it functions effectively, and where it can improve.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5" w:name="page26"/>
    <w:bookmarkEnd w:id="25"/>
    <w:p>
      <w:pPr>
        <w:spacing w:after="0"/>
        <w:rPr>
          <w:sz w:val="20"/>
          <w:szCs w:val="20"/>
          <w:color w:val="auto"/>
        </w:rPr>
      </w:pPr>
      <w:r>
        <w:rPr>
          <w:rFonts w:ascii="Arial" w:cs="Arial" w:eastAsia="Arial" w:hAnsi="Arial"/>
          <w:sz w:val="31"/>
          <w:szCs w:val="31"/>
          <w:b w:val="1"/>
          <w:bCs w:val="1"/>
          <w:color w:val="auto"/>
        </w:rPr>
        <w:t>Communications with the Board</w:t>
      </w:r>
    </w:p>
    <w:p>
      <w:pPr>
        <w:spacing w:after="0" w:line="2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not adopted a formal process for stockholder communications with the Board. However, every reasonable effort has been made to ensure that the views of stockholders are heard by the Board or individual director, and that appropriate responses are provided to stockholders in a timely manner. The Board does not recommend that formal communication procedures be adopted at this time because it believes that informal communications are sufficient to communicate questions, comments and observations that could be useful to the Board.</w:t>
      </w:r>
    </w:p>
    <w:p>
      <w:pPr>
        <w:spacing w:after="0" w:line="134"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Our stockholders may direct communications to a particular director or to the directors generally, in care of Enphase Energy, Inc., 47281 Bayside Parkway, Fremont, CA 94538.</w:t>
      </w:r>
    </w:p>
    <w:p>
      <w:pPr>
        <w:spacing w:after="0" w:line="11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addition, any interested person, including any stockholder, may communicate directly with our non-employee directors. Persons interested in communicating directly with our non-employee directors regarding any concerns or issues may do so by addressing correspondence to a particular director, or to our non-employee directors generally, in care of Enphase Energy, Inc. 47281 Bayside Parkway, Fremont, CA 94538. If no particular director is named, letters will be forwarded, depending upon the subject matter, to the Chair of the Board, or the Chair of the Audit Committee, Chair of the Compensation Committee or Chair of the Nominating and Corporate Governance Committee.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6" w:name="page27"/>
    <w:bookmarkEnd w:id="26"/>
    <w:p>
      <w:pPr>
        <w:spacing w:after="0"/>
        <w:rPr>
          <w:sz w:val="20"/>
          <w:szCs w:val="20"/>
          <w:color w:val="auto"/>
        </w:rPr>
      </w:pPr>
      <w:r>
        <w:rPr>
          <w:rFonts w:ascii="Arial" w:cs="Arial" w:eastAsia="Arial" w:hAnsi="Arial"/>
          <w:sz w:val="42"/>
          <w:szCs w:val="42"/>
          <w:b w:val="1"/>
          <w:bCs w:val="1"/>
          <w:color w:val="auto"/>
        </w:rPr>
        <w:t>Director Compensation</w:t>
      </w:r>
    </w:p>
    <w:p>
      <w:pPr>
        <w:spacing w:after="0" w:line="31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Non-Employee Director Compensation</w:t>
      </w:r>
    </w:p>
    <w:p>
      <w:pPr>
        <w:spacing w:after="0" w:line="248"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Members of the Board who are non-employee directors receive compensation for their service on the Board. As an employee, Mr. Kothandaraman, our CEO, does not receive additional compensation for his service on the Board.</w:t>
      </w:r>
    </w:p>
    <w:p>
      <w:pPr>
        <w:spacing w:after="0" w:line="114"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The Compensation Committee last reviewed our non-employee director compensation policy in 2020 in order to ensure that our compensation for directors remains competitive and allows us to attract and retain highly qualified members of the Board. As part of this review, the Compensation Committee had engaged AON Consulting, Inc., an independent compensation consultant, to review non-employee director compensation and provide guidance to the Compensation Committee. Based on that review, effective November 1, 2020, the Compensation Committee determined that in order to attract and retain highly qualified directors, the compensation of the non-employee directors should be updated to be more competitive. As a result, the committee approved a new Non-Employee Director Compensation Policy, which provides the following compensation package for our non-employee directors, which was in effect for 2023.</w:t>
      </w:r>
    </w:p>
    <w:p>
      <w:pPr>
        <w:spacing w:after="0" w:line="198"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Cash Compensation Arrangements</w:t>
      </w:r>
    </w:p>
    <w:p>
      <w:pPr>
        <w:spacing w:after="0" w:line="26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Under the Non-Employee Director Compensation Policy, each member of the Board who is not our employee was eligible for the following cash compensation for Board services.</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836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Arrangement</w:t>
            </w:r>
          </w:p>
        </w:tc>
        <w:tc>
          <w:tcPr>
            <w:tcW w:w="2880" w:type="dxa"/>
            <w:vAlign w:val="bottom"/>
            <w:shd w:val="clear" w:color="auto" w:fill="3C3C3C"/>
          </w:tcPr>
          <w:p>
            <w:pPr>
              <w:ind w:left="940"/>
              <w:spacing w:after="0"/>
              <w:rPr>
                <w:sz w:val="20"/>
                <w:szCs w:val="20"/>
                <w:color w:val="auto"/>
              </w:rPr>
            </w:pPr>
            <w:r>
              <w:rPr>
                <w:rFonts w:ascii="Arial" w:cs="Arial" w:eastAsia="Arial" w:hAnsi="Arial"/>
                <w:sz w:val="14"/>
                <w:szCs w:val="14"/>
                <w:b w:val="1"/>
                <w:bCs w:val="1"/>
                <w:color w:val="FFFFFF"/>
              </w:rPr>
              <w:t>Compensation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836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288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8360" w:type="dxa"/>
            <w:vAlign w:val="bottom"/>
            <w:tcBorders>
              <w:left w:val="single" w:sz="8" w:color="3C3C3C"/>
              <w:right w:val="single" w:sz="8" w:color="3C3C3C"/>
            </w:tcBorders>
            <w:shd w:val="clear" w:color="auto" w:fill="3C3C3C"/>
          </w:tcPr>
          <w:p>
            <w:pPr>
              <w:spacing w:after="0"/>
              <w:rPr>
                <w:sz w:val="9"/>
                <w:szCs w:val="9"/>
                <w:color w:val="auto"/>
              </w:rPr>
            </w:pPr>
          </w:p>
        </w:tc>
        <w:tc>
          <w:tcPr>
            <w:tcW w:w="2880" w:type="dxa"/>
            <w:vAlign w:val="bottom"/>
            <w:vMerge w:val="continue"/>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83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Annual retainer Board member</w:t>
            </w:r>
          </w:p>
        </w:tc>
        <w:tc>
          <w:tcPr>
            <w:tcW w:w="2880" w:type="dxa"/>
            <w:vAlign w:val="bottom"/>
          </w:tcPr>
          <w:p>
            <w:pPr>
              <w:jc w:val="center"/>
              <w:spacing w:after="0"/>
              <w:rPr>
                <w:sz w:val="20"/>
                <w:szCs w:val="20"/>
                <w:color w:val="auto"/>
              </w:rPr>
            </w:pPr>
            <w:r>
              <w:rPr>
                <w:rFonts w:ascii="Arial" w:cs="Arial" w:eastAsia="Arial" w:hAnsi="Arial"/>
                <w:sz w:val="16"/>
                <w:szCs w:val="16"/>
                <w:color w:val="auto"/>
                <w:w w:val="98"/>
              </w:rPr>
              <w:t>50,000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Additional retainer Audit Committee chair</w:t>
            </w:r>
          </w:p>
        </w:tc>
        <w:tc>
          <w:tcPr>
            <w:tcW w:w="28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25,000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3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Additional retainer Audit Committee member</w:t>
            </w:r>
          </w:p>
        </w:tc>
        <w:tc>
          <w:tcPr>
            <w:tcW w:w="2880" w:type="dxa"/>
            <w:vAlign w:val="bottom"/>
          </w:tcPr>
          <w:p>
            <w:pPr>
              <w:jc w:val="center"/>
              <w:spacing w:after="0"/>
              <w:rPr>
                <w:sz w:val="20"/>
                <w:szCs w:val="20"/>
                <w:color w:val="auto"/>
              </w:rPr>
            </w:pPr>
            <w:r>
              <w:rPr>
                <w:rFonts w:ascii="Arial" w:cs="Arial" w:eastAsia="Arial" w:hAnsi="Arial"/>
                <w:sz w:val="16"/>
                <w:szCs w:val="16"/>
                <w:color w:val="auto"/>
                <w:w w:val="98"/>
              </w:rPr>
              <w:t>15,000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Additional retainer Compensation Committee chair</w:t>
            </w:r>
          </w:p>
        </w:tc>
        <w:tc>
          <w:tcPr>
            <w:tcW w:w="28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20,000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3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Additional retainer Compensation Committee member</w:t>
            </w:r>
          </w:p>
        </w:tc>
        <w:tc>
          <w:tcPr>
            <w:tcW w:w="2880" w:type="dxa"/>
            <w:vAlign w:val="bottom"/>
          </w:tcPr>
          <w:p>
            <w:pPr>
              <w:jc w:val="center"/>
              <w:spacing w:after="0"/>
              <w:rPr>
                <w:sz w:val="20"/>
                <w:szCs w:val="20"/>
                <w:color w:val="auto"/>
              </w:rPr>
            </w:pPr>
            <w:r>
              <w:rPr>
                <w:rFonts w:ascii="Arial" w:cs="Arial" w:eastAsia="Arial" w:hAnsi="Arial"/>
                <w:sz w:val="16"/>
                <w:szCs w:val="16"/>
                <w:color w:val="auto"/>
                <w:w w:val="98"/>
              </w:rPr>
              <w:t>10,000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Additional retainer Nominating and Corporate Governance Committee chair</w:t>
            </w:r>
          </w:p>
        </w:tc>
        <w:tc>
          <w:tcPr>
            <w:tcW w:w="28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10,000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3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Additional retainer Nominating and Corporate Governance Committee member</w:t>
            </w:r>
          </w:p>
        </w:tc>
        <w:tc>
          <w:tcPr>
            <w:tcW w:w="2880" w:type="dxa"/>
            <w:vAlign w:val="bottom"/>
          </w:tcPr>
          <w:p>
            <w:pPr>
              <w:jc w:val="center"/>
              <w:spacing w:after="0"/>
              <w:rPr>
                <w:sz w:val="20"/>
                <w:szCs w:val="20"/>
                <w:color w:val="auto"/>
              </w:rPr>
            </w:pPr>
            <w:r>
              <w:rPr>
                <w:rFonts w:ascii="Arial" w:cs="Arial" w:eastAsia="Arial" w:hAnsi="Arial"/>
                <w:sz w:val="16"/>
                <w:szCs w:val="16"/>
                <w:color w:val="auto"/>
                <w:w w:val="99"/>
              </w:rPr>
              <w:t>5,000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Additional retainer Lead Independent Director or Chair of the Board</w:t>
            </w:r>
          </w:p>
        </w:tc>
        <w:tc>
          <w:tcPr>
            <w:tcW w:w="28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20,000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3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Additional retainer Strategic Committee member</w:t>
            </w:r>
          </w:p>
        </w:tc>
        <w:tc>
          <w:tcPr>
            <w:tcW w:w="2880" w:type="dxa"/>
            <w:vAlign w:val="bottom"/>
          </w:tcPr>
          <w:p>
            <w:pPr>
              <w:jc w:val="center"/>
              <w:spacing w:after="0"/>
              <w:rPr>
                <w:sz w:val="20"/>
                <w:szCs w:val="20"/>
                <w:color w:val="auto"/>
              </w:rPr>
            </w:pPr>
            <w:r>
              <w:rPr>
                <w:rFonts w:ascii="Arial" w:cs="Arial" w:eastAsia="Arial" w:hAnsi="Arial"/>
                <w:sz w:val="16"/>
                <w:szCs w:val="16"/>
                <w:color w:val="auto"/>
                <w:w w:val="98"/>
              </w:rPr>
              <w:t>10,000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All Board and committee retainers accrue and are payable on a quarterly basis at the end of each calendar quarter of service. We also reimburse our non-employee directors for travel, lodging and other reasonable expenses incurred in connection with their attendance at Board or committee meetings.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51" w:right="319" w:bottom="1440" w:gutter="0" w:footer="0" w:header="0"/>
        </w:sectPr>
      </w:pPr>
    </w:p>
    <w:bookmarkStart w:id="27" w:name="page28"/>
    <w:bookmarkEnd w:id="27"/>
    <w:p>
      <w:pPr>
        <w:spacing w:after="0"/>
        <w:rPr>
          <w:sz w:val="20"/>
          <w:szCs w:val="20"/>
          <w:color w:val="auto"/>
        </w:rPr>
      </w:pPr>
      <w:r>
        <w:rPr>
          <w:rFonts w:ascii="Arial" w:cs="Arial" w:eastAsia="Arial" w:hAnsi="Arial"/>
          <w:sz w:val="31"/>
          <w:szCs w:val="31"/>
          <w:b w:val="1"/>
          <w:bCs w:val="1"/>
          <w:color w:val="auto"/>
        </w:rPr>
        <w:t>Equity Compensation Arrangements</w:t>
      </w:r>
    </w:p>
    <w:p>
      <w:pPr>
        <w:spacing w:after="0" w:line="26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Non-Employee Director Compensation Policy provides that on the date of each annual stockholders’ meeting, each non-employee director will automatically receive a RSU award with value of $250,000 (calculated using the closing price of our common stock on the Nasdaq Global Market or any successor exchange on the grant date) vesting on a quarterly basis over 12 months; the lead independent director or Chair of the Board will automatically receive an additional RSU grant with a target value of $20,000 vesting on a quarterly basis over 12 months.</w:t>
      </w:r>
    </w:p>
    <w:p>
      <w:pPr>
        <w:spacing w:after="0" w:line="209"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Director Compensation Table</w:t>
      </w:r>
    </w:p>
    <w:p>
      <w:pPr>
        <w:spacing w:after="0" w:line="261"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The following table sets forth certain summary information for 2023 with respect to the compensation of our non-employee directors. Mr. Kothandaraman, as an employee and executive officer, did not receive any additional compensation for serving on the Board.</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2023 Director Compensation Table</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62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w:t>
            </w:r>
          </w:p>
        </w:tc>
        <w:tc>
          <w:tcPr>
            <w:tcW w:w="2960" w:type="dxa"/>
            <w:vAlign w:val="bottom"/>
            <w:tcBorders>
              <w:right w:val="single" w:sz="8" w:color="3C3C3C"/>
            </w:tcBorders>
            <w:shd w:val="clear" w:color="auto" w:fill="3C3C3C"/>
          </w:tcPr>
          <w:p>
            <w:pPr>
              <w:ind w:left="520"/>
              <w:spacing w:after="0"/>
              <w:rPr>
                <w:sz w:val="20"/>
                <w:szCs w:val="20"/>
                <w:color w:val="auto"/>
              </w:rPr>
            </w:pPr>
            <w:r>
              <w:rPr>
                <w:rFonts w:ascii="Arial" w:cs="Arial" w:eastAsia="Arial" w:hAnsi="Arial"/>
                <w:sz w:val="14"/>
                <w:szCs w:val="14"/>
                <w:b w:val="1"/>
                <w:bCs w:val="1"/>
                <w:color w:val="FFFFFF"/>
              </w:rPr>
              <w:t>Fees Earned or Paid in Cash</w:t>
            </w:r>
          </w:p>
        </w:tc>
        <w:tc>
          <w:tcPr>
            <w:tcW w:w="19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5"/>
              </w:rPr>
              <w:t>Stock Awards</w:t>
            </w:r>
            <w:r>
              <w:rPr>
                <w:rFonts w:ascii="Arial" w:cs="Arial" w:eastAsia="Arial" w:hAnsi="Arial"/>
                <w:sz w:val="18"/>
                <w:szCs w:val="18"/>
                <w:b w:val="1"/>
                <w:bCs w:val="1"/>
                <w:color w:val="FFFFFF"/>
                <w:w w:val="95"/>
                <w:vertAlign w:val="superscript"/>
              </w:rPr>
              <w:t>(1)</w:t>
            </w:r>
          </w:p>
        </w:tc>
        <w:tc>
          <w:tcPr>
            <w:tcW w:w="176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4620" w:type="dxa"/>
            <w:vAlign w:val="bottom"/>
            <w:tcBorders>
              <w:left w:val="single" w:sz="8" w:color="3C3C3C"/>
              <w:right w:val="single" w:sz="8" w:color="3C3C3C"/>
            </w:tcBorders>
            <w:vMerge w:val="continue"/>
            <w:shd w:val="clear" w:color="auto" w:fill="3C3C3C"/>
          </w:tcPr>
          <w:p>
            <w:pPr>
              <w:spacing w:after="0"/>
              <w:rPr>
                <w:sz w:val="9"/>
                <w:szCs w:val="9"/>
                <w:color w:val="auto"/>
              </w:rPr>
            </w:pPr>
          </w:p>
        </w:tc>
        <w:tc>
          <w:tcPr>
            <w:tcW w:w="29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3"/>
              </w:rPr>
              <w:t>($)</w:t>
            </w:r>
          </w:p>
        </w:tc>
        <w:tc>
          <w:tcPr>
            <w:tcW w:w="19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76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620" w:type="dxa"/>
            <w:vAlign w:val="bottom"/>
            <w:tcBorders>
              <w:left w:val="single" w:sz="8" w:color="3C3C3C"/>
              <w:bottom w:val="single" w:sz="8" w:color="3C3C3C"/>
              <w:right w:val="single" w:sz="8" w:color="3C3C3C"/>
            </w:tcBorders>
            <w:shd w:val="clear" w:color="auto" w:fill="3C3C3C"/>
          </w:tcPr>
          <w:p>
            <w:pPr>
              <w:spacing w:after="0"/>
              <w:rPr>
                <w:sz w:val="7"/>
                <w:szCs w:val="7"/>
                <w:color w:val="auto"/>
              </w:rPr>
            </w:pPr>
          </w:p>
        </w:tc>
        <w:tc>
          <w:tcPr>
            <w:tcW w:w="2960" w:type="dxa"/>
            <w:vAlign w:val="bottom"/>
            <w:tcBorders>
              <w:bottom w:val="single" w:sz="8" w:color="3C3C3C"/>
              <w:right w:val="single" w:sz="8" w:color="3C3C3C"/>
            </w:tcBorders>
            <w:vMerge w:val="continue"/>
            <w:shd w:val="clear" w:color="auto" w:fill="3C3C3C"/>
          </w:tcPr>
          <w:p>
            <w:pPr>
              <w:spacing w:after="0"/>
              <w:rPr>
                <w:sz w:val="7"/>
                <w:szCs w:val="7"/>
                <w:color w:val="auto"/>
              </w:rPr>
            </w:pPr>
          </w:p>
        </w:tc>
        <w:tc>
          <w:tcPr>
            <w:tcW w:w="1900" w:type="dxa"/>
            <w:vAlign w:val="bottom"/>
            <w:tcBorders>
              <w:bottom w:val="single" w:sz="8" w:color="3C3C3C"/>
              <w:right w:val="single" w:sz="8" w:color="3C3C3C"/>
            </w:tcBorders>
            <w:vMerge w:val="continue"/>
            <w:shd w:val="clear" w:color="auto" w:fill="3C3C3C"/>
          </w:tcPr>
          <w:p>
            <w:pPr>
              <w:spacing w:after="0"/>
              <w:rPr>
                <w:sz w:val="7"/>
                <w:szCs w:val="7"/>
                <w:color w:val="auto"/>
              </w:rPr>
            </w:pPr>
          </w:p>
        </w:tc>
        <w:tc>
          <w:tcPr>
            <w:tcW w:w="1760" w:type="dxa"/>
            <w:vAlign w:val="bottom"/>
            <w:tcBorders>
              <w:bottom w:val="single" w:sz="8" w:color="3C3C3C"/>
            </w:tcBorders>
            <w:vMerge w:val="continue"/>
            <w:shd w:val="clear" w:color="auto" w:fill="3C3C3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462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Steven J. Gomo</w:t>
            </w:r>
          </w:p>
        </w:tc>
        <w:tc>
          <w:tcPr>
            <w:tcW w:w="29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105,000</w:t>
            </w:r>
          </w:p>
        </w:tc>
        <w:tc>
          <w:tcPr>
            <w:tcW w:w="19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269,991</w:t>
            </w:r>
          </w:p>
        </w:tc>
        <w:tc>
          <w:tcPr>
            <w:tcW w:w="17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6"/>
              </w:rPr>
              <w:t>374,991</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2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Benjamin Kortlang</w:t>
            </w:r>
          </w:p>
        </w:tc>
        <w:tc>
          <w:tcPr>
            <w:tcW w:w="29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85,000</w:t>
            </w:r>
          </w:p>
        </w:tc>
        <w:tc>
          <w:tcPr>
            <w:tcW w:w="19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249,852</w:t>
            </w: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334,852</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Richard Mora</w:t>
            </w:r>
          </w:p>
        </w:tc>
        <w:tc>
          <w:tcPr>
            <w:tcW w:w="29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85,000</w:t>
            </w:r>
          </w:p>
        </w:tc>
        <w:tc>
          <w:tcPr>
            <w:tcW w:w="19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249,852</w:t>
            </w:r>
          </w:p>
        </w:tc>
        <w:tc>
          <w:tcPr>
            <w:tcW w:w="17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6"/>
              </w:rPr>
              <w:t>334,852</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2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Thurman John Rodgers</w:t>
            </w:r>
          </w:p>
        </w:tc>
        <w:tc>
          <w:tcPr>
            <w:tcW w:w="29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85,000</w:t>
            </w:r>
          </w:p>
        </w:tc>
        <w:tc>
          <w:tcPr>
            <w:tcW w:w="19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249,852</w:t>
            </w: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334,852</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Jamie Haenggi</w:t>
            </w:r>
          </w:p>
        </w:tc>
        <w:tc>
          <w:tcPr>
            <w:tcW w:w="29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65,000</w:t>
            </w:r>
          </w:p>
        </w:tc>
        <w:tc>
          <w:tcPr>
            <w:tcW w:w="19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249,852</w:t>
            </w:r>
          </w:p>
        </w:tc>
        <w:tc>
          <w:tcPr>
            <w:tcW w:w="17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6"/>
              </w:rPr>
              <w:t>314,852</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2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Joseph Malchow</w:t>
            </w:r>
          </w:p>
        </w:tc>
        <w:tc>
          <w:tcPr>
            <w:tcW w:w="29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60,000</w:t>
            </w:r>
          </w:p>
        </w:tc>
        <w:tc>
          <w:tcPr>
            <w:tcW w:w="19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249,852</w:t>
            </w: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309,852</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jc w:val="both"/>
        <w:ind w:left="240" w:right="20" w:hanging="235"/>
        <w:spacing w:after="0" w:line="179" w:lineRule="exact"/>
        <w:tabs>
          <w:tab w:leader="none" w:pos="226" w:val="left"/>
        </w:tabs>
        <w:numPr>
          <w:ilvl w:val="0"/>
          <w:numId w:val="22"/>
        </w:numPr>
        <w:rPr>
          <w:rFonts w:ascii="Arial" w:cs="Arial" w:eastAsia="Arial" w:hAnsi="Arial"/>
          <w:sz w:val="14"/>
          <w:szCs w:val="14"/>
          <w:color w:val="7D7D7D"/>
        </w:rPr>
      </w:pPr>
      <w:r>
        <w:rPr>
          <w:rFonts w:ascii="Arial" w:cs="Arial" w:eastAsia="Arial" w:hAnsi="Arial"/>
          <w:sz w:val="14"/>
          <w:szCs w:val="14"/>
          <w:color w:val="7D7D7D"/>
        </w:rPr>
        <w:t>The amounts reported in this column do not reflect dollar amounts actually received by our non-employee directors. Instead, these amounts represent the aggregate grant date fair value of RSU awards granted in the fiscal year ended December 31, 2023 calculated in accordance with Financial Accounting Standards Board ASC Topic 718 (“ASC 718”), disregarding the estimate for forfeitures. For a discussion of the valuation methodology used, see Note 16, “Stock-Based Compensation” of the notes to consolidated financial statements included in Item 8 of our Annual Report on Form 10</w:t>
      </w:r>
      <w:r>
        <w:rPr>
          <w:rFonts w:ascii="MS PGothic" w:cs="MS PGothic" w:eastAsia="MS PGothic" w:hAnsi="MS PGothic"/>
          <w:sz w:val="14"/>
          <w:szCs w:val="14"/>
          <w:color w:val="7D7D7D"/>
        </w:rPr>
        <w:t>‑</w:t>
      </w:r>
      <w:r>
        <w:rPr>
          <w:rFonts w:ascii="Arial" w:cs="Arial" w:eastAsia="Arial" w:hAnsi="Arial"/>
          <w:sz w:val="14"/>
          <w:szCs w:val="14"/>
          <w:color w:val="7D7D7D"/>
        </w:rPr>
        <w:t>K for the year ended December 31, 2023, as filed with the SEC on February 9, 2024.</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000" w:right="319" w:bottom="1440" w:gutter="0" w:footer="0" w:header="0"/>
        </w:sectPr>
      </w:pPr>
    </w:p>
    <w:bookmarkStart w:id="28" w:name="page29"/>
    <w:bookmarkEnd w:id="28"/>
    <w:p>
      <w:pPr>
        <w:spacing w:after="0"/>
        <w:rPr>
          <w:sz w:val="20"/>
          <w:szCs w:val="20"/>
          <w:color w:val="auto"/>
        </w:rPr>
      </w:pPr>
      <w:r>
        <w:rPr>
          <w:rFonts w:ascii="Arial" w:cs="Arial" w:eastAsia="Arial" w:hAnsi="Arial"/>
          <w:sz w:val="31"/>
          <w:szCs w:val="31"/>
          <w:b w:val="1"/>
          <w:bCs w:val="1"/>
          <w:color w:val="auto"/>
        </w:rPr>
        <w:t>Director Outstanding Equity Awards at December 31, 2023</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outstanding equity awards held by each of our non-employee Board members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139700</wp:posOffset>
            </wp:positionV>
            <wp:extent cx="44316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4280" w:type="dxa"/>
            <w:vAlign w:val="bottom"/>
          </w:tcPr>
          <w:p>
            <w:pPr>
              <w:spacing w:after="0"/>
              <w:rPr>
                <w:sz w:val="19"/>
                <w:szCs w:val="19"/>
                <w:color w:val="auto"/>
              </w:rPr>
            </w:pPr>
          </w:p>
        </w:tc>
        <w:tc>
          <w:tcPr>
            <w:tcW w:w="4660" w:type="dxa"/>
            <w:vAlign w:val="bottom"/>
            <w:gridSpan w:val="2"/>
          </w:tcPr>
          <w:p>
            <w:pPr>
              <w:jc w:val="right"/>
              <w:ind w:right="1725"/>
              <w:spacing w:after="0"/>
              <w:rPr>
                <w:sz w:val="20"/>
                <w:szCs w:val="20"/>
                <w:color w:val="auto"/>
              </w:rPr>
            </w:pPr>
            <w:r>
              <w:rPr>
                <w:rFonts w:ascii="Arial" w:cs="Arial" w:eastAsia="Arial" w:hAnsi="Arial"/>
                <w:sz w:val="16"/>
                <w:szCs w:val="16"/>
                <w:b w:val="1"/>
                <w:bCs w:val="1"/>
                <w:color w:val="auto"/>
              </w:rPr>
              <w:t>Option Awards</w:t>
            </w:r>
          </w:p>
        </w:tc>
        <w:tc>
          <w:tcPr>
            <w:tcW w:w="2300" w:type="dxa"/>
            <w:vAlign w:val="bottom"/>
          </w:tcPr>
          <w:p>
            <w:pPr>
              <w:jc w:val="center"/>
              <w:ind w:left="24"/>
              <w:spacing w:after="0"/>
              <w:rPr>
                <w:sz w:val="20"/>
                <w:szCs w:val="20"/>
                <w:color w:val="auto"/>
              </w:rPr>
            </w:pPr>
            <w:r>
              <w:rPr>
                <w:rFonts w:ascii="Arial" w:cs="Arial" w:eastAsia="Arial" w:hAnsi="Arial"/>
                <w:sz w:val="16"/>
                <w:szCs w:val="16"/>
                <w:b w:val="1"/>
                <w:bCs w:val="1"/>
                <w:color w:val="auto"/>
                <w:w w:val="98"/>
              </w:rPr>
              <w:t>Stock Awards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280" w:type="dxa"/>
            <w:vAlign w:val="bottom"/>
            <w:tcBorders>
              <w:left w:val="single" w:sz="8" w:color="3C3C3C"/>
              <w:right w:val="single" w:sz="8" w:color="3C3C3C"/>
            </w:tcBorders>
            <w:shd w:val="clear" w:color="auto" w:fill="3C3C3C"/>
          </w:tcPr>
          <w:p>
            <w:pPr>
              <w:spacing w:after="0"/>
              <w:rPr>
                <w:sz w:val="15"/>
                <w:szCs w:val="15"/>
                <w:color w:val="auto"/>
              </w:rPr>
            </w:pPr>
          </w:p>
        </w:tc>
        <w:tc>
          <w:tcPr>
            <w:tcW w:w="2440" w:type="dxa"/>
            <w:vAlign w:val="bottom"/>
            <w:tcBorders>
              <w:right w:val="single" w:sz="8" w:color="3C3C3C"/>
            </w:tcBorders>
            <w:vMerge w:val="restart"/>
            <w:shd w:val="clear" w:color="auto" w:fill="3C3C3C"/>
          </w:tcPr>
          <w:p>
            <w:pPr>
              <w:jc w:val="right"/>
              <w:ind w:right="64"/>
              <w:spacing w:after="0"/>
              <w:rPr>
                <w:sz w:val="20"/>
                <w:szCs w:val="20"/>
                <w:color w:val="auto"/>
              </w:rPr>
            </w:pPr>
            <w:r>
              <w:rPr>
                <w:rFonts w:ascii="Arial" w:cs="Arial" w:eastAsia="Arial" w:hAnsi="Arial"/>
                <w:sz w:val="14"/>
                <w:szCs w:val="14"/>
                <w:b w:val="1"/>
                <w:bCs w:val="1"/>
                <w:color w:val="FFFFFF"/>
              </w:rPr>
              <w:t>Number of Securities Underlying</w:t>
            </w:r>
          </w:p>
        </w:tc>
        <w:tc>
          <w:tcPr>
            <w:tcW w:w="222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Number of Securities Underlying</w:t>
            </w:r>
          </w:p>
        </w:tc>
        <w:tc>
          <w:tcPr>
            <w:tcW w:w="2300" w:type="dxa"/>
            <w:vAlign w:val="bottom"/>
            <w:vMerge w:val="restart"/>
            <w:shd w:val="clear" w:color="auto" w:fill="3C3C3C"/>
          </w:tcPr>
          <w:p>
            <w:pPr>
              <w:jc w:val="center"/>
              <w:ind w:left="24"/>
              <w:spacing w:after="0"/>
              <w:rPr>
                <w:sz w:val="20"/>
                <w:szCs w:val="20"/>
                <w:color w:val="auto"/>
              </w:rPr>
            </w:pPr>
            <w:r>
              <w:rPr>
                <w:rFonts w:ascii="Arial" w:cs="Arial" w:eastAsia="Arial" w:hAnsi="Arial"/>
                <w:sz w:val="14"/>
                <w:szCs w:val="14"/>
                <w:b w:val="1"/>
                <w:bCs w:val="1"/>
                <w:color w:val="FFFFFF"/>
                <w:w w:val="99"/>
              </w:rPr>
              <w:t>Number of Shares of Stock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4280" w:type="dxa"/>
            <w:vAlign w:val="bottom"/>
            <w:tcBorders>
              <w:left w:val="single" w:sz="8" w:color="3C3C3C"/>
              <w:right w:val="single" w:sz="8" w:color="3C3C3C"/>
            </w:tcBorders>
            <w:shd w:val="clear" w:color="auto" w:fill="3C3C3C"/>
          </w:tcPr>
          <w:p>
            <w:pPr>
              <w:spacing w:after="0"/>
              <w:rPr>
                <w:sz w:val="6"/>
                <w:szCs w:val="6"/>
                <w:color w:val="auto"/>
              </w:rPr>
            </w:pPr>
          </w:p>
        </w:tc>
        <w:tc>
          <w:tcPr>
            <w:tcW w:w="2440" w:type="dxa"/>
            <w:vAlign w:val="bottom"/>
            <w:tcBorders>
              <w:right w:val="single" w:sz="8" w:color="3C3C3C"/>
            </w:tcBorders>
            <w:vMerge w:val="continue"/>
            <w:shd w:val="clear" w:color="auto" w:fill="3C3C3C"/>
          </w:tcPr>
          <w:p>
            <w:pPr>
              <w:spacing w:after="0"/>
              <w:rPr>
                <w:sz w:val="6"/>
                <w:szCs w:val="6"/>
                <w:color w:val="auto"/>
              </w:rPr>
            </w:pPr>
          </w:p>
        </w:tc>
        <w:tc>
          <w:tcPr>
            <w:tcW w:w="22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Unexercised Options Not</w:t>
            </w:r>
          </w:p>
        </w:tc>
        <w:tc>
          <w:tcPr>
            <w:tcW w:w="230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428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w:t>
            </w:r>
          </w:p>
        </w:tc>
        <w:tc>
          <w:tcPr>
            <w:tcW w:w="2440" w:type="dxa"/>
            <w:vAlign w:val="bottom"/>
            <w:tcBorders>
              <w:right w:val="single" w:sz="8" w:color="3C3C3C"/>
            </w:tcBorders>
            <w:vMerge w:val="restart"/>
            <w:shd w:val="clear" w:color="auto" w:fill="3C3C3C"/>
          </w:tcPr>
          <w:p>
            <w:pPr>
              <w:jc w:val="right"/>
              <w:ind w:right="64"/>
              <w:spacing w:after="0"/>
              <w:rPr>
                <w:sz w:val="20"/>
                <w:szCs w:val="20"/>
                <w:color w:val="auto"/>
              </w:rPr>
            </w:pPr>
            <w:r>
              <w:rPr>
                <w:rFonts w:ascii="Arial" w:cs="Arial" w:eastAsia="Arial" w:hAnsi="Arial"/>
                <w:sz w:val="14"/>
                <w:szCs w:val="14"/>
                <w:b w:val="1"/>
                <w:bCs w:val="1"/>
                <w:color w:val="FFFFFF"/>
              </w:rPr>
              <w:t>Unexercised Options Exercisable</w:t>
            </w:r>
          </w:p>
        </w:tc>
        <w:tc>
          <w:tcPr>
            <w:tcW w:w="2220" w:type="dxa"/>
            <w:vAlign w:val="bottom"/>
            <w:tcBorders>
              <w:right w:val="single" w:sz="8" w:color="3C3C3C"/>
            </w:tcBorders>
            <w:vMerge w:val="continue"/>
            <w:shd w:val="clear" w:color="auto" w:fill="3C3C3C"/>
          </w:tcPr>
          <w:p>
            <w:pPr>
              <w:spacing w:after="0"/>
              <w:rPr>
                <w:sz w:val="7"/>
                <w:szCs w:val="7"/>
                <w:color w:val="auto"/>
              </w:rPr>
            </w:pPr>
          </w:p>
        </w:tc>
        <w:tc>
          <w:tcPr>
            <w:tcW w:w="23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Units That Have Not Vested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280" w:type="dxa"/>
            <w:vAlign w:val="bottom"/>
            <w:tcBorders>
              <w:left w:val="single" w:sz="8" w:color="3C3C3C"/>
              <w:right w:val="single" w:sz="8" w:color="3C3C3C"/>
            </w:tcBorders>
            <w:vMerge w:val="continue"/>
            <w:shd w:val="clear" w:color="auto" w:fill="3C3C3C"/>
          </w:tcPr>
          <w:p>
            <w:pPr>
              <w:spacing w:after="0"/>
              <w:rPr>
                <w:sz w:val="6"/>
                <w:szCs w:val="6"/>
                <w:color w:val="auto"/>
              </w:rPr>
            </w:pPr>
          </w:p>
        </w:tc>
        <w:tc>
          <w:tcPr>
            <w:tcW w:w="2440" w:type="dxa"/>
            <w:vAlign w:val="bottom"/>
            <w:tcBorders>
              <w:right w:val="single" w:sz="8" w:color="3C3C3C"/>
            </w:tcBorders>
            <w:vMerge w:val="continue"/>
            <w:shd w:val="clear" w:color="auto" w:fill="3C3C3C"/>
          </w:tcPr>
          <w:p>
            <w:pPr>
              <w:spacing w:after="0"/>
              <w:rPr>
                <w:sz w:val="6"/>
                <w:szCs w:val="6"/>
                <w:color w:val="auto"/>
              </w:rPr>
            </w:pPr>
          </w:p>
        </w:tc>
        <w:tc>
          <w:tcPr>
            <w:tcW w:w="22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Exercisable</w:t>
            </w:r>
          </w:p>
        </w:tc>
        <w:tc>
          <w:tcPr>
            <w:tcW w:w="230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4280" w:type="dxa"/>
            <w:vAlign w:val="bottom"/>
            <w:tcBorders>
              <w:left w:val="single" w:sz="8" w:color="3C3C3C"/>
              <w:right w:val="single" w:sz="8" w:color="3C3C3C"/>
            </w:tcBorders>
            <w:shd w:val="clear" w:color="auto" w:fill="3C3C3C"/>
          </w:tcPr>
          <w:p>
            <w:pPr>
              <w:spacing w:after="0"/>
              <w:rPr>
                <w:sz w:val="7"/>
                <w:szCs w:val="7"/>
                <w:color w:val="auto"/>
              </w:rPr>
            </w:pPr>
          </w:p>
        </w:tc>
        <w:tc>
          <w:tcPr>
            <w:tcW w:w="24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2220" w:type="dxa"/>
            <w:vAlign w:val="bottom"/>
            <w:tcBorders>
              <w:right w:val="single" w:sz="8" w:color="3C3C3C"/>
            </w:tcBorders>
            <w:vMerge w:val="continue"/>
            <w:shd w:val="clear" w:color="auto" w:fill="3C3C3C"/>
          </w:tcPr>
          <w:p>
            <w:pPr>
              <w:spacing w:after="0"/>
              <w:rPr>
                <w:sz w:val="7"/>
                <w:szCs w:val="7"/>
                <w:color w:val="auto"/>
              </w:rPr>
            </w:pPr>
          </w:p>
        </w:tc>
        <w:tc>
          <w:tcPr>
            <w:tcW w:w="2300" w:type="dxa"/>
            <w:vAlign w:val="bottom"/>
            <w:vMerge w:val="restart"/>
            <w:shd w:val="clear" w:color="auto" w:fill="3C3C3C"/>
          </w:tcPr>
          <w:p>
            <w:pPr>
              <w:jc w:val="center"/>
              <w:ind w:left="24"/>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280" w:type="dxa"/>
            <w:vAlign w:val="bottom"/>
            <w:tcBorders>
              <w:left w:val="single" w:sz="8" w:color="3C3C3C"/>
              <w:right w:val="single" w:sz="8" w:color="3C3C3C"/>
            </w:tcBorders>
            <w:shd w:val="clear" w:color="auto" w:fill="3C3C3C"/>
          </w:tcPr>
          <w:p>
            <w:pPr>
              <w:spacing w:after="0"/>
              <w:rPr>
                <w:sz w:val="8"/>
                <w:szCs w:val="8"/>
                <w:color w:val="auto"/>
              </w:rPr>
            </w:pPr>
          </w:p>
        </w:tc>
        <w:tc>
          <w:tcPr>
            <w:tcW w:w="2440" w:type="dxa"/>
            <w:vAlign w:val="bottom"/>
            <w:tcBorders>
              <w:right w:val="single" w:sz="8" w:color="3C3C3C"/>
            </w:tcBorders>
            <w:vMerge w:val="continue"/>
            <w:shd w:val="clear" w:color="auto" w:fill="3C3C3C"/>
          </w:tcPr>
          <w:p>
            <w:pPr>
              <w:spacing w:after="0"/>
              <w:rPr>
                <w:sz w:val="8"/>
                <w:szCs w:val="8"/>
                <w:color w:val="auto"/>
              </w:rPr>
            </w:pPr>
          </w:p>
        </w:tc>
        <w:tc>
          <w:tcPr>
            <w:tcW w:w="2220" w:type="dxa"/>
            <w:vAlign w:val="bottom"/>
            <w:tcBorders>
              <w:right w:val="single" w:sz="8" w:color="3C3C3C"/>
            </w:tcBorders>
            <w:vMerge w:val="restart"/>
            <w:shd w:val="clear" w:color="auto" w:fill="3C3C3C"/>
          </w:tcPr>
          <w:p>
            <w:pPr>
              <w:jc w:val="right"/>
              <w:ind w:right="965"/>
              <w:spacing w:after="0"/>
              <w:rPr>
                <w:sz w:val="20"/>
                <w:szCs w:val="20"/>
                <w:color w:val="auto"/>
              </w:rPr>
            </w:pPr>
            <w:r>
              <w:rPr>
                <w:rFonts w:ascii="Arial" w:cs="Arial" w:eastAsia="Arial" w:hAnsi="Arial"/>
                <w:sz w:val="14"/>
                <w:szCs w:val="14"/>
                <w:b w:val="1"/>
                <w:bCs w:val="1"/>
                <w:color w:val="FFFFFF"/>
              </w:rPr>
              <w:t>(#)</w:t>
            </w:r>
          </w:p>
        </w:tc>
        <w:tc>
          <w:tcPr>
            <w:tcW w:w="2300" w:type="dxa"/>
            <w:vAlign w:val="bottom"/>
            <w:vMerge w:val="continue"/>
            <w:shd w:val="clear" w:color="auto" w:fill="3C3C3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280" w:type="dxa"/>
            <w:vAlign w:val="bottom"/>
            <w:tcBorders>
              <w:left w:val="single" w:sz="8" w:color="3C3C3C"/>
              <w:right w:val="single" w:sz="8" w:color="3C3C3C"/>
            </w:tcBorders>
            <w:shd w:val="clear" w:color="auto" w:fill="3C3C3C"/>
          </w:tcPr>
          <w:p>
            <w:pPr>
              <w:spacing w:after="0"/>
              <w:rPr>
                <w:sz w:val="9"/>
                <w:szCs w:val="9"/>
                <w:color w:val="auto"/>
              </w:rPr>
            </w:pPr>
          </w:p>
        </w:tc>
        <w:tc>
          <w:tcPr>
            <w:tcW w:w="2440" w:type="dxa"/>
            <w:vAlign w:val="bottom"/>
            <w:tcBorders>
              <w:right w:val="single" w:sz="8" w:color="3C3C3C"/>
            </w:tcBorders>
            <w:shd w:val="clear" w:color="auto" w:fill="3C3C3C"/>
          </w:tcPr>
          <w:p>
            <w:pPr>
              <w:spacing w:after="0"/>
              <w:rPr>
                <w:sz w:val="9"/>
                <w:szCs w:val="9"/>
                <w:color w:val="auto"/>
              </w:rPr>
            </w:pPr>
          </w:p>
        </w:tc>
        <w:tc>
          <w:tcPr>
            <w:tcW w:w="2220" w:type="dxa"/>
            <w:vAlign w:val="bottom"/>
            <w:tcBorders>
              <w:right w:val="single" w:sz="8" w:color="3C3C3C"/>
            </w:tcBorders>
            <w:vMerge w:val="continue"/>
            <w:shd w:val="clear" w:color="auto" w:fill="3C3C3C"/>
          </w:tcPr>
          <w:p>
            <w:pPr>
              <w:spacing w:after="0"/>
              <w:rPr>
                <w:sz w:val="9"/>
                <w:szCs w:val="9"/>
                <w:color w:val="auto"/>
              </w:rPr>
            </w:pPr>
          </w:p>
        </w:tc>
        <w:tc>
          <w:tcPr>
            <w:tcW w:w="2300" w:type="dxa"/>
            <w:vAlign w:val="bottom"/>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42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Steven J. Gomo</w:t>
            </w:r>
          </w:p>
        </w:tc>
        <w:tc>
          <w:tcPr>
            <w:tcW w:w="24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45,668</w:t>
            </w:r>
          </w:p>
        </w:tc>
        <w:tc>
          <w:tcPr>
            <w:tcW w:w="2220" w:type="dxa"/>
            <w:vAlign w:val="bottom"/>
            <w:tcBorders>
              <w:right w:val="single" w:sz="8" w:color="7D7D7D"/>
            </w:tcBorders>
            <w:shd w:val="clear" w:color="auto" w:fill="FAF6EF"/>
          </w:tcPr>
          <w:p>
            <w:pPr>
              <w:jc w:val="right"/>
              <w:ind w:right="965"/>
              <w:spacing w:after="0"/>
              <w:rPr>
                <w:sz w:val="20"/>
                <w:szCs w:val="20"/>
                <w:color w:val="auto"/>
              </w:rPr>
            </w:pPr>
            <w:r>
              <w:rPr>
                <w:rFonts w:ascii="Arial" w:cs="Arial" w:eastAsia="Arial" w:hAnsi="Arial"/>
                <w:sz w:val="16"/>
                <w:szCs w:val="16"/>
                <w:color w:val="auto"/>
              </w:rPr>
              <w:t>—</w:t>
            </w:r>
          </w:p>
        </w:tc>
        <w:tc>
          <w:tcPr>
            <w:tcW w:w="2300" w:type="dxa"/>
            <w:vAlign w:val="bottom"/>
            <w:shd w:val="clear" w:color="auto" w:fill="FAF6EF"/>
          </w:tcPr>
          <w:p>
            <w:pPr>
              <w:jc w:val="center"/>
              <w:ind w:left="4"/>
              <w:spacing w:after="0"/>
              <w:rPr>
                <w:sz w:val="20"/>
                <w:szCs w:val="20"/>
                <w:color w:val="auto"/>
              </w:rPr>
            </w:pPr>
            <w:r>
              <w:rPr>
                <w:rFonts w:ascii="Arial" w:cs="Arial" w:eastAsia="Arial" w:hAnsi="Arial"/>
                <w:sz w:val="16"/>
                <w:szCs w:val="16"/>
                <w:color w:val="auto"/>
                <w:w w:val="97"/>
              </w:rPr>
              <w:t>825</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Benjamin Kortlang</w:t>
            </w:r>
          </w:p>
        </w:tc>
        <w:tc>
          <w:tcPr>
            <w:tcW w:w="24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4"/>
              </w:rPr>
              <w:t>2,475</w:t>
            </w:r>
          </w:p>
        </w:tc>
        <w:tc>
          <w:tcPr>
            <w:tcW w:w="2220" w:type="dxa"/>
            <w:vAlign w:val="bottom"/>
            <w:tcBorders>
              <w:right w:val="single" w:sz="8" w:color="7D7D7D"/>
            </w:tcBorders>
          </w:tcPr>
          <w:p>
            <w:pPr>
              <w:jc w:val="right"/>
              <w:ind w:right="965"/>
              <w:spacing w:after="0"/>
              <w:rPr>
                <w:sz w:val="20"/>
                <w:szCs w:val="20"/>
                <w:color w:val="auto"/>
              </w:rPr>
            </w:pPr>
            <w:r>
              <w:rPr>
                <w:rFonts w:ascii="Arial" w:cs="Arial" w:eastAsia="Arial" w:hAnsi="Arial"/>
                <w:sz w:val="16"/>
                <w:szCs w:val="16"/>
                <w:color w:val="auto"/>
              </w:rPr>
              <w:t>—</w:t>
            </w:r>
          </w:p>
        </w:tc>
        <w:tc>
          <w:tcPr>
            <w:tcW w:w="2300" w:type="dxa"/>
            <w:vAlign w:val="bottom"/>
          </w:tcPr>
          <w:p>
            <w:pPr>
              <w:jc w:val="center"/>
              <w:ind w:left="4"/>
              <w:spacing w:after="0"/>
              <w:rPr>
                <w:sz w:val="20"/>
                <w:szCs w:val="20"/>
                <w:color w:val="auto"/>
              </w:rPr>
            </w:pPr>
            <w:r>
              <w:rPr>
                <w:rFonts w:ascii="Arial" w:cs="Arial" w:eastAsia="Arial" w:hAnsi="Arial"/>
                <w:sz w:val="16"/>
                <w:szCs w:val="16"/>
                <w:color w:val="auto"/>
                <w:w w:val="97"/>
              </w:rPr>
              <w:t>763</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Richard Mora</w:t>
            </w:r>
          </w:p>
        </w:tc>
        <w:tc>
          <w:tcPr>
            <w:tcW w:w="24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24,285</w:t>
            </w:r>
          </w:p>
        </w:tc>
        <w:tc>
          <w:tcPr>
            <w:tcW w:w="2220" w:type="dxa"/>
            <w:vAlign w:val="bottom"/>
            <w:tcBorders>
              <w:right w:val="single" w:sz="8" w:color="7D7D7D"/>
            </w:tcBorders>
            <w:shd w:val="clear" w:color="auto" w:fill="FAF6EF"/>
          </w:tcPr>
          <w:p>
            <w:pPr>
              <w:jc w:val="right"/>
              <w:ind w:right="965"/>
              <w:spacing w:after="0"/>
              <w:rPr>
                <w:sz w:val="20"/>
                <w:szCs w:val="20"/>
                <w:color w:val="auto"/>
              </w:rPr>
            </w:pPr>
            <w:r>
              <w:rPr>
                <w:rFonts w:ascii="Arial" w:cs="Arial" w:eastAsia="Arial" w:hAnsi="Arial"/>
                <w:sz w:val="16"/>
                <w:szCs w:val="16"/>
                <w:color w:val="auto"/>
              </w:rPr>
              <w:t>—</w:t>
            </w:r>
          </w:p>
        </w:tc>
        <w:tc>
          <w:tcPr>
            <w:tcW w:w="2300" w:type="dxa"/>
            <w:vAlign w:val="bottom"/>
            <w:shd w:val="clear" w:color="auto" w:fill="FAF6EF"/>
          </w:tcPr>
          <w:p>
            <w:pPr>
              <w:jc w:val="center"/>
              <w:ind w:left="4"/>
              <w:spacing w:after="0"/>
              <w:rPr>
                <w:sz w:val="20"/>
                <w:szCs w:val="20"/>
                <w:color w:val="auto"/>
              </w:rPr>
            </w:pPr>
            <w:r>
              <w:rPr>
                <w:rFonts w:ascii="Arial" w:cs="Arial" w:eastAsia="Arial" w:hAnsi="Arial"/>
                <w:sz w:val="16"/>
                <w:szCs w:val="16"/>
                <w:color w:val="auto"/>
                <w:w w:val="97"/>
              </w:rPr>
              <w:t>763</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Thurman John Rodgers</w:t>
            </w:r>
          </w:p>
        </w:tc>
        <w:tc>
          <w:tcPr>
            <w:tcW w:w="24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w:t>
            </w:r>
          </w:p>
        </w:tc>
        <w:tc>
          <w:tcPr>
            <w:tcW w:w="2220" w:type="dxa"/>
            <w:vAlign w:val="bottom"/>
            <w:tcBorders>
              <w:right w:val="single" w:sz="8" w:color="7D7D7D"/>
            </w:tcBorders>
          </w:tcPr>
          <w:p>
            <w:pPr>
              <w:jc w:val="right"/>
              <w:ind w:right="965"/>
              <w:spacing w:after="0"/>
              <w:rPr>
                <w:sz w:val="20"/>
                <w:szCs w:val="20"/>
                <w:color w:val="auto"/>
              </w:rPr>
            </w:pPr>
            <w:r>
              <w:rPr>
                <w:rFonts w:ascii="Arial" w:cs="Arial" w:eastAsia="Arial" w:hAnsi="Arial"/>
                <w:sz w:val="16"/>
                <w:szCs w:val="16"/>
                <w:color w:val="auto"/>
              </w:rPr>
              <w:t>—</w:t>
            </w:r>
          </w:p>
        </w:tc>
        <w:tc>
          <w:tcPr>
            <w:tcW w:w="2300" w:type="dxa"/>
            <w:vAlign w:val="bottom"/>
          </w:tcPr>
          <w:p>
            <w:pPr>
              <w:jc w:val="center"/>
              <w:ind w:left="4"/>
              <w:spacing w:after="0"/>
              <w:rPr>
                <w:sz w:val="20"/>
                <w:szCs w:val="20"/>
                <w:color w:val="auto"/>
              </w:rPr>
            </w:pPr>
            <w:r>
              <w:rPr>
                <w:rFonts w:ascii="Arial" w:cs="Arial" w:eastAsia="Arial" w:hAnsi="Arial"/>
                <w:sz w:val="16"/>
                <w:szCs w:val="16"/>
                <w:color w:val="auto"/>
                <w:w w:val="97"/>
              </w:rPr>
              <w:t>763</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Jamie Haenggi</w:t>
            </w:r>
          </w:p>
        </w:tc>
        <w:tc>
          <w:tcPr>
            <w:tcW w:w="24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220" w:type="dxa"/>
            <w:vAlign w:val="bottom"/>
            <w:tcBorders>
              <w:right w:val="single" w:sz="8" w:color="7D7D7D"/>
            </w:tcBorders>
            <w:shd w:val="clear" w:color="auto" w:fill="FAF6EF"/>
          </w:tcPr>
          <w:p>
            <w:pPr>
              <w:jc w:val="right"/>
              <w:ind w:right="965"/>
              <w:spacing w:after="0"/>
              <w:rPr>
                <w:sz w:val="20"/>
                <w:szCs w:val="20"/>
                <w:color w:val="auto"/>
              </w:rPr>
            </w:pPr>
            <w:r>
              <w:rPr>
                <w:rFonts w:ascii="Arial" w:cs="Arial" w:eastAsia="Arial" w:hAnsi="Arial"/>
                <w:sz w:val="16"/>
                <w:szCs w:val="16"/>
                <w:color w:val="auto"/>
              </w:rPr>
              <w:t>—</w:t>
            </w:r>
          </w:p>
        </w:tc>
        <w:tc>
          <w:tcPr>
            <w:tcW w:w="2300" w:type="dxa"/>
            <w:vAlign w:val="bottom"/>
            <w:shd w:val="clear" w:color="auto" w:fill="FAF6EF"/>
          </w:tcPr>
          <w:p>
            <w:pPr>
              <w:jc w:val="center"/>
              <w:ind w:left="4"/>
              <w:spacing w:after="0"/>
              <w:rPr>
                <w:sz w:val="20"/>
                <w:szCs w:val="20"/>
                <w:color w:val="auto"/>
              </w:rPr>
            </w:pPr>
            <w:r>
              <w:rPr>
                <w:rFonts w:ascii="Arial" w:cs="Arial" w:eastAsia="Arial" w:hAnsi="Arial"/>
                <w:sz w:val="16"/>
                <w:szCs w:val="16"/>
                <w:color w:val="auto"/>
                <w:w w:val="97"/>
              </w:rPr>
              <w:t>763</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8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Joseph Malchow</w:t>
            </w:r>
          </w:p>
        </w:tc>
        <w:tc>
          <w:tcPr>
            <w:tcW w:w="24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w:t>
            </w:r>
          </w:p>
        </w:tc>
        <w:tc>
          <w:tcPr>
            <w:tcW w:w="2220" w:type="dxa"/>
            <w:vAlign w:val="bottom"/>
            <w:tcBorders>
              <w:right w:val="single" w:sz="8" w:color="7D7D7D"/>
            </w:tcBorders>
          </w:tcPr>
          <w:p>
            <w:pPr>
              <w:jc w:val="right"/>
              <w:ind w:right="965"/>
              <w:spacing w:after="0"/>
              <w:rPr>
                <w:sz w:val="20"/>
                <w:szCs w:val="20"/>
                <w:color w:val="auto"/>
              </w:rPr>
            </w:pPr>
            <w:r>
              <w:rPr>
                <w:rFonts w:ascii="Arial" w:cs="Arial" w:eastAsia="Arial" w:hAnsi="Arial"/>
                <w:sz w:val="16"/>
                <w:szCs w:val="16"/>
                <w:color w:val="auto"/>
              </w:rPr>
              <w:t>—</w:t>
            </w:r>
          </w:p>
        </w:tc>
        <w:tc>
          <w:tcPr>
            <w:tcW w:w="2300" w:type="dxa"/>
            <w:vAlign w:val="bottom"/>
          </w:tcPr>
          <w:p>
            <w:pPr>
              <w:jc w:val="center"/>
              <w:ind w:left="4"/>
              <w:spacing w:after="0"/>
              <w:rPr>
                <w:sz w:val="20"/>
                <w:szCs w:val="20"/>
                <w:color w:val="auto"/>
              </w:rPr>
            </w:pPr>
            <w:r>
              <w:rPr>
                <w:rFonts w:ascii="Arial" w:cs="Arial" w:eastAsia="Arial" w:hAnsi="Arial"/>
                <w:sz w:val="16"/>
                <w:szCs w:val="16"/>
                <w:color w:val="auto"/>
                <w:w w:val="97"/>
              </w:rPr>
              <w:t>763</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Compensation Committee Interlocks and Insider Participation</w:t>
      </w:r>
    </w:p>
    <w:p>
      <w:pPr>
        <w:spacing w:after="0" w:line="26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Messrs. Rodgers and Mora served on the Compensation Committee for the entire fiscal year ended December 31, 2023. None of the members of the Compensation Committee have, at any time, been one of our officers or employees. None of our executive officers serve, or in the past year have served, as a member of the board of directors or compensation committee of any entity that has one or more executive officers who serve on the Board or the Compensation Committee.</w:t>
      </w:r>
    </w:p>
    <w:p>
      <w:pPr>
        <w:spacing w:after="0" w:line="209"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Stock Ownership Guidelines</w:t>
      </w:r>
    </w:p>
    <w:p>
      <w:pPr>
        <w:spacing w:after="0" w:line="261"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As part of our overall corporate governance policies, and to align the interests of our non-employee directors with the interests of our stockholders, the Board believes that our non-employee directors should have a significant financial stake in Enphase. Accordingly, the Board believes that each non-employee director should own shares of our common stock with a value equal to at least five times the current cash annual retainer for Board service (excluding additional retainers for committee or chair service). As of March 2024, this guideline is equivalent to $250,000 based on a $50,000 annual retainer. Non-employee directors should achieve this ownership guideline by the end of the calendar year that is three years after the later of (1) the October 22, 2022 effective date of the Stock Ownership Guidelines or (2) the date the individual becomes a non-employee director.</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each of our non-employee directors had achieved his or her required ownership level.</w:t>
      </w:r>
    </w:p>
    <w:p>
      <w:pPr>
        <w:spacing w:after="0" w:line="19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For additional details on our Stock Ownership Guidelines, and how they relate to our officers, please see the section entitled “Compensation Discussion and Analysis - Other Features of Our Executive Compensation” below.</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2020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000" w:right="319" w:bottom="1440" w:gutter="0" w:footer="0" w:header="0"/>
        </w:sectPr>
      </w:pPr>
    </w:p>
    <w:bookmarkStart w:id="29" w:name="page30"/>
    <w:bookmarkEnd w:id="29"/>
    <w:p>
      <w:pPr>
        <w:spacing w:after="0"/>
        <w:rPr>
          <w:sz w:val="20"/>
          <w:szCs w:val="20"/>
          <w:color w:val="auto"/>
        </w:rPr>
      </w:pPr>
      <w:r>
        <w:rPr>
          <w:rFonts w:ascii="Arial" w:cs="Arial" w:eastAsia="Arial" w:hAnsi="Arial"/>
          <w:sz w:val="42"/>
          <w:szCs w:val="42"/>
          <w:b w:val="1"/>
          <w:bCs w:val="1"/>
          <w:color w:val="auto"/>
        </w:rPr>
        <w:t>Management</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certain information concerning our executive officers as of March 19, 2024:</w:t>
      </w:r>
    </w:p>
    <w:p>
      <w:pPr>
        <w:spacing w:after="0" w:line="220" w:lineRule="exact"/>
        <w:rPr>
          <w:sz w:val="20"/>
          <w:szCs w:val="20"/>
          <w:color w:val="auto"/>
        </w:rPr>
      </w:pPr>
    </w:p>
    <w:p>
      <w:pPr>
        <w:ind w:left="2280"/>
        <w:spacing w:after="0"/>
        <w:rPr>
          <w:sz w:val="20"/>
          <w:szCs w:val="20"/>
          <w:color w:val="auto"/>
        </w:rPr>
      </w:pPr>
      <w:r>
        <w:rPr>
          <w:rFonts w:ascii="Arial" w:cs="Arial" w:eastAsia="Arial" w:hAnsi="Arial"/>
          <w:sz w:val="21"/>
          <w:szCs w:val="21"/>
          <w:b w:val="1"/>
          <w:bCs w:val="1"/>
          <w:color w:val="auto"/>
        </w:rPr>
        <w:t>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-94615</wp:posOffset>
            </wp:positionV>
            <wp:extent cx="1037590" cy="13277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37590" cy="1327785"/>
                    </a:xfrm>
                    <a:prstGeom prst="rect">
                      <a:avLst/>
                    </a:prstGeom>
                    <a:noFill/>
                  </pic:spPr>
                </pic:pic>
              </a:graphicData>
            </a:graphic>
          </wp:anchor>
        </w:drawing>
      </w:r>
    </w:p>
    <w:p>
      <w:pPr>
        <w:spacing w:after="0" w:line="103"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74930</wp:posOffset>
            </wp:positionV>
            <wp:extent cx="57010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1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Please see page 9 of this Proxy Statement for Mr. Kothandaraman’s biography.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80"/>
        <w:spacing w:after="0"/>
        <w:rPr>
          <w:sz w:val="20"/>
          <w:szCs w:val="20"/>
          <w:color w:val="auto"/>
        </w:rPr>
      </w:pPr>
      <w:r>
        <w:rPr>
          <w:rFonts w:ascii="Arial" w:cs="Arial" w:eastAsia="Arial" w:hAnsi="Arial"/>
          <w:sz w:val="21"/>
          <w:szCs w:val="21"/>
          <w:b w:val="1"/>
          <w:bCs w:val="1"/>
          <w:color w:val="auto"/>
        </w:rPr>
        <w:t>Mandy Yang</w:t>
      </w:r>
    </w:p>
    <w:p>
      <w:pPr>
        <w:spacing w:after="0" w:line="110"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7128510" cy="1327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8510" cy="1327785"/>
                    </a:xfrm>
                    <a:prstGeom prst="rect">
                      <a:avLst/>
                    </a:prstGeom>
                    <a:noFill/>
                  </pic:spPr>
                </pic:pic>
              </a:graphicData>
            </a:graphic>
          </wp:anchor>
        </w:drawing>
      </w:r>
    </w:p>
    <w:p>
      <w:pPr>
        <w:spacing w:after="0" w:line="321" w:lineRule="exact"/>
        <w:rPr>
          <w:sz w:val="20"/>
          <w:szCs w:val="20"/>
          <w:color w:val="auto"/>
        </w:rPr>
      </w:pPr>
    </w:p>
    <w:p>
      <w:pPr>
        <w:jc w:val="both"/>
        <w:ind w:left="2280"/>
        <w:spacing w:after="0" w:line="249" w:lineRule="auto"/>
        <w:rPr>
          <w:sz w:val="20"/>
          <w:szCs w:val="20"/>
          <w:color w:val="auto"/>
        </w:rPr>
      </w:pPr>
      <w:r>
        <w:rPr>
          <w:rFonts w:ascii="Arial" w:cs="Arial" w:eastAsia="Arial" w:hAnsi="Arial"/>
          <w:sz w:val="16"/>
          <w:szCs w:val="16"/>
          <w:color w:val="auto"/>
        </w:rPr>
        <w:t>Ms. Yang, 48, has served as our Vice President and Chief Accounting Officer from October 2018 until her promotion to our Vice President and CFO in February 2022. Ms. Yang was appointed Executive Vice President in January 2024. Ms. Yang has over 20 years of accounting, financial reporting, treasury, and tax experience. Previously, she was senior director and group controller at Tesla, Inc. from February 2017 to September 2018. Prior to that, she served in various positions at SunPower Corporation, including as Senior Director and Division Controller of the global distributed generation division, and concurrently as the Chief Accounting Officer and Corporate Controller of 8point3 Energy Partners. Before that, she served in a variety of senior finance positions at Spansion Inc. Earlier in her career, Ms. Yang was an internal auditor at SYNNEX Corporation and an auditor with Deloitte &amp; Touche. Ms. Yang earned her bachelor of arts degree in international business from National Taiwan University and a masters of business administration degree in finance and accounting from the University of Illinois at Urbana-Champaign. She is a Certified Public Accountant in California and a Chartered Financial Analyst.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80"/>
        <w:spacing w:after="0"/>
        <w:rPr>
          <w:sz w:val="20"/>
          <w:szCs w:val="20"/>
          <w:color w:val="auto"/>
        </w:rPr>
      </w:pPr>
      <w:r>
        <w:rPr>
          <w:rFonts w:ascii="Arial" w:cs="Arial" w:eastAsia="Arial" w:hAnsi="Arial"/>
          <w:sz w:val="21"/>
          <w:szCs w:val="21"/>
          <w:b w:val="1"/>
          <w:bCs w:val="1"/>
          <w:color w:val="auto"/>
        </w:rPr>
        <w:t>David Ranhoff</w:t>
      </w:r>
    </w:p>
    <w:p>
      <w:pPr>
        <w:spacing w:after="0" w:line="110"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Executive Vice President and 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28510" cy="13277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28510" cy="132778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2280"/>
        <w:spacing w:after="0" w:line="247" w:lineRule="auto"/>
        <w:rPr>
          <w:sz w:val="20"/>
          <w:szCs w:val="20"/>
          <w:color w:val="auto"/>
        </w:rPr>
      </w:pPr>
      <w:r>
        <w:rPr>
          <w:rFonts w:ascii="Arial" w:cs="Arial" w:eastAsia="Arial" w:hAnsi="Arial"/>
          <w:sz w:val="16"/>
          <w:szCs w:val="16"/>
          <w:color w:val="auto"/>
        </w:rPr>
        <w:t>Mr. Ranhoff, 69, has served as our Vice President and Chief Commercial Officer (“CCO”) since December 2017 and as our Executive Vice President and CCO since February 2020. Mr. Ranhoff joined Enphase from GCL Solar Materials, a solar energy equipment supplier, where he was the president and CEO from April 2017 to December 2017. Prior to GCL, he was with SunEdison Inc., a renewable energy company, serving as president of the Solar Materials group from July 2013 until March 2017, and as a Senior Vice President of Sales and Marketing for both the solar materials and semiconductor divisions from July 2010 to June 2013. He joined SunEdison through its acquisition of Solaicx Inc., a crystal growth manufacturing company, where he was President and CEO from May 2009 to July 2010. Mr. Ranhoff received his bachelor of science degree in electrical engineering from Northeastern University and attended the Stanford Executive Program.</w:t>
      </w:r>
    </w:p>
    <w:p>
      <w:pPr>
        <w:sectPr>
          <w:pgSz w:w="11900" w:h="16838" w:orient="portrait"/>
          <w:cols w:equalWidth="0" w:num="1">
            <w:col w:w="11220"/>
          </w:cols>
          <w:pgMar w:left="320" w:top="7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751"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42"/>
          <w:szCs w:val="42"/>
          <w:b w:val="1"/>
          <w:bCs w:val="1"/>
          <w:color w:val="auto"/>
        </w:rPr>
        <w:t>Executive Compensation</w:t>
      </w:r>
    </w:p>
    <w:p>
      <w:pPr>
        <w:spacing w:after="0" w:line="31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Compensation Discussion and Analysis</w:t>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39"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This Compensation Discussion and Analysis provides an overview of our executive compensation philosophy, policies and objectives, how we arrived at specific compensation decisions, and the compensation paid in 2023 to the individuals who served as our principal executive officer, our principal financial officer and our other NEOs in 2023.</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2023, our NEOs were: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3780" w:type="dxa"/>
            <w:vAlign w:val="bottom"/>
            <w:tcBorders>
              <w:left w:val="single" w:sz="8" w:color="3C3C3C"/>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Executive</w:t>
            </w:r>
          </w:p>
        </w:tc>
        <w:tc>
          <w:tcPr>
            <w:tcW w:w="7460" w:type="dxa"/>
            <w:vAlign w:val="bottom"/>
            <w:shd w:val="clear" w:color="auto" w:fill="3C3C3C"/>
          </w:tcPr>
          <w:p>
            <w:pPr>
              <w:ind w:left="100"/>
              <w:spacing w:after="0"/>
              <w:rPr>
                <w:sz w:val="20"/>
                <w:szCs w:val="20"/>
                <w:color w:val="auto"/>
              </w:rPr>
            </w:pPr>
            <w:r>
              <w:rPr>
                <w:rFonts w:ascii="Arial" w:cs="Arial" w:eastAsia="Arial" w:hAnsi="Arial"/>
                <w:sz w:val="14"/>
                <w:szCs w:val="14"/>
                <w:b w:val="1"/>
                <w:bCs w:val="1"/>
                <w:color w:val="FFFFFF"/>
              </w:rPr>
              <w:t>Position</w:t>
            </w:r>
          </w:p>
        </w:tc>
        <w:tc>
          <w:tcPr>
            <w:tcW w:w="20" w:type="dxa"/>
            <w:vAlign w:val="bottom"/>
          </w:tcPr>
          <w:p>
            <w:pPr>
              <w:spacing w:after="0"/>
              <w:rPr>
                <w:sz w:val="19"/>
                <w:szCs w:val="19"/>
                <w:color w:val="auto"/>
              </w:rPr>
            </w:pPr>
          </w:p>
        </w:tc>
      </w:tr>
      <w:tr>
        <w:trPr>
          <w:trHeight w:val="235"/>
        </w:trPr>
        <w:tc>
          <w:tcPr>
            <w:tcW w:w="37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7460" w:type="dxa"/>
            <w:vAlign w:val="bottom"/>
            <w:shd w:val="clear" w:color="auto" w:fill="FAF6EF"/>
          </w:tcPr>
          <w:p>
            <w:pPr>
              <w:ind w:left="80"/>
              <w:spacing w:after="0"/>
              <w:rPr>
                <w:sz w:val="20"/>
                <w:szCs w:val="20"/>
                <w:color w:val="auto"/>
              </w:rPr>
            </w:pPr>
            <w:r>
              <w:rPr>
                <w:rFonts w:ascii="Arial" w:cs="Arial" w:eastAsia="Arial" w:hAnsi="Arial"/>
                <w:sz w:val="16"/>
                <w:szCs w:val="16"/>
                <w:color w:val="auto"/>
              </w:rPr>
              <w:t>President and CEO</w:t>
            </w:r>
          </w:p>
        </w:tc>
        <w:tc>
          <w:tcPr>
            <w:tcW w:w="20" w:type="dxa"/>
            <w:vAlign w:val="bottom"/>
            <w:shd w:val="clear" w:color="auto" w:fill="7D7D7D"/>
          </w:tcPr>
          <w:p>
            <w:pPr>
              <w:spacing w:after="0"/>
              <w:rPr>
                <w:sz w:val="20"/>
                <w:szCs w:val="20"/>
                <w:color w:val="auto"/>
              </w:rPr>
            </w:pPr>
          </w:p>
        </w:tc>
      </w:tr>
      <w:tr>
        <w:trPr>
          <w:trHeight w:val="232"/>
        </w:trPr>
        <w:tc>
          <w:tcPr>
            <w:tcW w:w="378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7460" w:type="dxa"/>
            <w:vAlign w:val="bottom"/>
          </w:tcPr>
          <w:p>
            <w:pPr>
              <w:ind w:left="80"/>
              <w:spacing w:after="0"/>
              <w:rPr>
                <w:sz w:val="20"/>
                <w:szCs w:val="20"/>
                <w:color w:val="auto"/>
              </w:rPr>
            </w:pPr>
            <w:r>
              <w:rPr>
                <w:rFonts w:ascii="Arial" w:cs="Arial" w:eastAsia="Arial" w:hAnsi="Arial"/>
                <w:sz w:val="16"/>
                <w:szCs w:val="16"/>
                <w:color w:val="auto"/>
              </w:rPr>
              <w:t>Executive Vice President and CFO</w:t>
            </w:r>
          </w:p>
        </w:tc>
        <w:tc>
          <w:tcPr>
            <w:tcW w:w="20" w:type="dxa"/>
            <w:vAlign w:val="bottom"/>
            <w:shd w:val="clear" w:color="auto" w:fill="7D7D7D"/>
          </w:tcPr>
          <w:p>
            <w:pPr>
              <w:spacing w:after="0"/>
              <w:rPr>
                <w:sz w:val="20"/>
                <w:szCs w:val="20"/>
                <w:color w:val="auto"/>
              </w:rPr>
            </w:pPr>
          </w:p>
        </w:tc>
      </w:tr>
      <w:tr>
        <w:trPr>
          <w:trHeight w:val="239"/>
        </w:trPr>
        <w:tc>
          <w:tcPr>
            <w:tcW w:w="37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7460" w:type="dxa"/>
            <w:vAlign w:val="bottom"/>
            <w:shd w:val="clear" w:color="auto" w:fill="FAF6EF"/>
          </w:tcPr>
          <w:p>
            <w:pPr>
              <w:ind w:left="80"/>
              <w:spacing w:after="0"/>
              <w:rPr>
                <w:sz w:val="20"/>
                <w:szCs w:val="20"/>
                <w:color w:val="auto"/>
              </w:rPr>
            </w:pPr>
            <w:r>
              <w:rPr>
                <w:rFonts w:ascii="Arial" w:cs="Arial" w:eastAsia="Arial" w:hAnsi="Arial"/>
                <w:sz w:val="16"/>
                <w:szCs w:val="16"/>
                <w:color w:val="auto"/>
              </w:rPr>
              <w:t>Executive Vice President and CCO</w:t>
            </w:r>
          </w:p>
        </w:tc>
        <w:tc>
          <w:tcPr>
            <w:tcW w:w="20" w:type="dxa"/>
            <w:vAlign w:val="bottom"/>
            <w:shd w:val="clear" w:color="auto" w:fill="7D7D7D"/>
          </w:tcPr>
          <w:p>
            <w:pPr>
              <w:spacing w:after="0"/>
              <w:rPr>
                <w:sz w:val="20"/>
                <w:szCs w:val="20"/>
                <w:color w:val="auto"/>
              </w:rPr>
            </w:pPr>
          </w:p>
        </w:tc>
      </w:tr>
      <w:tr>
        <w:trPr>
          <w:trHeight w:val="235"/>
        </w:trPr>
        <w:tc>
          <w:tcPr>
            <w:tcW w:w="378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Jeffrey McNeil</w:t>
            </w:r>
          </w:p>
        </w:tc>
        <w:tc>
          <w:tcPr>
            <w:tcW w:w="7460" w:type="dxa"/>
            <w:vAlign w:val="bottom"/>
          </w:tcPr>
          <w:p>
            <w:pPr>
              <w:ind w:left="80"/>
              <w:spacing w:after="0"/>
              <w:rPr>
                <w:sz w:val="20"/>
                <w:szCs w:val="20"/>
                <w:color w:val="auto"/>
              </w:rPr>
            </w:pPr>
            <w:r>
              <w:rPr>
                <w:rFonts w:ascii="Arial" w:cs="Arial" w:eastAsia="Arial" w:hAnsi="Arial"/>
                <w:sz w:val="16"/>
                <w:szCs w:val="16"/>
                <w:color w:val="auto"/>
              </w:rPr>
              <w:t>Chief Advisor and former Executive Vice President and COO</w:t>
            </w:r>
          </w:p>
        </w:tc>
        <w:tc>
          <w:tcPr>
            <w:tcW w:w="20" w:type="dxa"/>
            <w:vAlign w:val="bottom"/>
            <w:shd w:val="clear" w:color="auto" w:fill="7D7D7D"/>
          </w:tcPr>
          <w:p>
            <w:pPr>
              <w:spacing w:after="0"/>
              <w:rPr>
                <w:sz w:val="20"/>
                <w:szCs w:val="20"/>
                <w:color w:val="auto"/>
              </w:rPr>
            </w:pPr>
          </w:p>
        </w:tc>
      </w:tr>
    </w:tbl>
    <w:p>
      <w:pPr>
        <w:spacing w:after="0" w:line="341"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In June 2022, Mr. McNeil notified Enphase of his intention to retire. In advance of his retirement, Mr. McNeil transitioned from his then-current position as Executive Vice President and COO to a full-time, non-executive role as Chief Advisor, effective March 31, 2023.</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Summary</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Overview</w:t>
      </w:r>
    </w:p>
    <w:p>
      <w:pPr>
        <w:spacing w:after="0" w:line="125"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We are a global energy technology company. We deliver smart, easy-to-use solutions that manage solar generation, energy storage and communication on one single platform. Our intelligent microinverters work with virtually every solar panel made, and when paired with our smart technology, results in one of the industry’s best-performing clean energy systems. As of the end of 2023, we have cumulatively shipped more than 73 million microinverters, and over four million Enphase residential and commercial systems have been deployed in more than 150 countries.</w:t>
      </w:r>
    </w:p>
    <w:p>
      <w:pPr>
        <w:spacing w:after="0" w:line="129"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The demand environment for our products experienced a broad-based slowdown beginning in the second quarter of 2023 in the United States and in the third quarter of 2023 in Europe that continued into the fourth quarter. This resulted in elevated inventory with distributors and installers, and as a result we sold fewer microinverters to distributors and installers during the second half of 2023 compared to the first half of 2023 as they responded to this slower demand environment. In the United States, this slowdown was primarily the result of higher interest rates and the transition from Net Energy Metering (“NEM”) 2.0 to NEM 3.0 in California, which has increased the payback period for our customers in California. In Europe, this slowdown was primarily the result of a decrease in purchases in the second half of 2023 after the initial surge of sales related to onset of the armed conflict in Ukraine in 2022, and overall channel inventory correction. In addition, there has been increased uncertainty in NEM policies and solar export penalties in a key European market, which resulted in lower sales in that region.</w:t>
      </w: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51" w:right="319" w:bottom="1440" w:gutter="0" w:footer="0" w:header="0"/>
        </w:sectPr>
      </w:pPr>
    </w:p>
    <w:bookmarkStart w:id="31" w:name="page32"/>
    <w:bookmarkEnd w:id="31"/>
    <w:p>
      <w:pPr>
        <w:spacing w:after="0"/>
        <w:rPr>
          <w:sz w:val="20"/>
          <w:szCs w:val="20"/>
          <w:color w:val="auto"/>
        </w:rPr>
      </w:pPr>
      <w:r>
        <w:rPr>
          <w:rFonts w:ascii="Arial" w:cs="Arial" w:eastAsia="Arial" w:hAnsi="Arial"/>
          <w:sz w:val="21"/>
          <w:szCs w:val="21"/>
          <w:b w:val="1"/>
          <w:bCs w:val="1"/>
          <w:color w:val="auto"/>
        </w:rPr>
        <w:t>Fiscal 2023 Performance</w:t>
      </w:r>
    </w:p>
    <w:p>
      <w:pPr>
        <w:spacing w:after="0" w:line="1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Despite the slowdown in the second half of the year, we delivered strong financial results in 2023, as well as strong free cash flow generation. Our GAAP profitability for 2023 was $438.9 million, as compared to $397.4 million for 2022. Our non-GAAP profitability for 2023 was $613.2 million, as compared to $647.4 million for 2022. We generated $586.4 million in free cash flow in 2023, as compared to $698.4 million in 2022. We reported net revenues of $2,290.8 million for 2023, as compared to $2,330.9 million for 2022. For the year ended December 31, 2023, we sold approximately 15.5 million microinverter units, as compared to approximately 15.4 million units in 2022, and made shipments of our IQ Batteries to customers of 351.6 Megawatt-hour (“MWh”) in 2023, as compared to 508.5 MWh shipped in 2022.</w:t>
      </w:r>
      <w:r>
        <w:rPr>
          <w:rFonts w:ascii="Arial" w:cs="Arial" w:eastAsia="Arial" w:hAnsi="Arial"/>
          <w:sz w:val="20"/>
          <w:szCs w:val="20"/>
          <w:color w:val="auto"/>
          <w:vertAlign w:val="superscript"/>
        </w:rPr>
        <w:t>1</w:t>
      </w:r>
    </w:p>
    <w:p>
      <w:pPr>
        <w:spacing w:after="0" w:line="63"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In addition, we completed the buyback of $410.0 million of our common stock as part of our authorized share repurchase programs, and ended 2023 with $1.9 billion in net working capital, including cash, cash equivalents and marketable securities of $1.7 billion.</w:t>
      </w:r>
    </w:p>
    <w:p>
      <w:pPr>
        <w:spacing w:after="0" w:line="114"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graph below shows a comparison of the growth of our common stock as compared to the S&amp;P 500 Index for the period from September 5, 2017 (the first trading day after Mr. Kothandaraman was appointed CEO) to December 31, 2023. As the graph below depicts, our stock has outperformed the S&amp;P 500 over this period. Since Mr. Kothandaraman has led Enphase, our stock price has increased more than 12,023%, as compared to a 94% increase for the S&amp;P 500 Index over the same period. The majority of Mr. Kothandaraman’s compensation has been delivered through performance-based equity awards. The equity awards he has received over time align with our growth and success and the exceptional value delivered to our stockholders since he was promoted to CEO. The information shown is historical, and share price over the indicated period should not be considered indicative of future stockholder returns or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6115685" cy="34188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5685" cy="341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5"/>
        <w:spacing w:after="0" w:line="233" w:lineRule="auto"/>
        <w:tabs>
          <w:tab w:leader="none" w:pos="113"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7D7D7D"/>
        </w:rPr>
        <w:t>See Appendix A for the most comparable reconciliation of U.S. GAAP to non-GAAP financial measures. We use these non-GAAP financial measures to analyze our operating performance and future prospects, develop internal budgets and financial goals, and to facilitate period-to-period comparisons. We believe that these non-GAAP financial measures reflect an additional way of viewing aspects of our operations that, when viewed with its GAAP results, provide a more complete understanding of factors and trends affecting our business.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2" w:name="page33"/>
    <w:bookmarkEnd w:id="32"/>
    <w:p>
      <w:pPr>
        <w:spacing w:after="0"/>
        <w:rPr>
          <w:sz w:val="20"/>
          <w:szCs w:val="20"/>
          <w:color w:val="auto"/>
        </w:rPr>
      </w:pPr>
      <w:r>
        <w:rPr>
          <w:rFonts w:ascii="Arial" w:cs="Arial" w:eastAsia="Arial" w:hAnsi="Arial"/>
          <w:sz w:val="21"/>
          <w:szCs w:val="21"/>
          <w:b w:val="1"/>
          <w:bCs w:val="1"/>
          <w:color w:val="auto"/>
        </w:rPr>
        <w:t>Advisory Vote on Executive Compensation Results</w:t>
      </w:r>
    </w:p>
    <w:p>
      <w:pPr>
        <w:spacing w:after="0" w:line="125"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At the 2023 Annual Meeting, we received support of approximately 87.7% of the votes cast on our say-on-pay advisory proposal. As a result, our 2023 say-on-pay advisory proposal passed. This followed a failed say-on-pay advisory vote at our 2022 Annual Meeting of Stockholders (the “2022 Annual Meeting”) and the Compensation Committee believes that this substantial majority of votes cast affirms our stockholder’s support for the changes we made to our executive compensation program in 2023.</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2023 Executive Compensation Highlights</w:t>
      </w:r>
    </w:p>
    <w:p>
      <w:pPr>
        <w:spacing w:after="0" w:line="139"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Based on the feedback from investors and recommendations from Compensia, our compensation consultant, following the 2022 Annual Meeting, the Compensation Committee made changes to our equity compensation program for our NEOs, taking into consideration the discussions we had with our stockholders, our outstanding performance and our record financial results in 2022, and the desire to continue to motivate our executives and create meaningful retention incentives. We summarize below the overall 2023 compensation program for our CEO as compared to our 2022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36765" cy="315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765" cy="315595"/>
                    </a:xfrm>
                    <a:prstGeom prst="rect">
                      <a:avLst/>
                    </a:prstGeom>
                    <a:noFill/>
                  </pic:spPr>
                </pic:pic>
              </a:graphicData>
            </a:graphic>
          </wp:anchor>
        </w:drawing>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Summary of CEO Compensation</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5360" w:type="dxa"/>
            <w:vAlign w:val="bottom"/>
          </w:tcPr>
          <w:p>
            <w:pPr>
              <w:ind w:left="2020"/>
              <w:spacing w:after="0"/>
              <w:rPr>
                <w:sz w:val="20"/>
                <w:szCs w:val="20"/>
                <w:color w:val="auto"/>
              </w:rPr>
            </w:pPr>
            <w:r>
              <w:rPr>
                <w:rFonts w:ascii="Arial" w:cs="Arial" w:eastAsia="Arial" w:hAnsi="Arial"/>
                <w:sz w:val="16"/>
                <w:szCs w:val="16"/>
                <w:b w:val="1"/>
                <w:bCs w:val="1"/>
                <w:color w:val="FFFFFF"/>
              </w:rPr>
              <w:t>2022 Features</w:t>
            </w:r>
          </w:p>
        </w:tc>
        <w:tc>
          <w:tcPr>
            <w:tcW w:w="260" w:type="dxa"/>
            <w:vAlign w:val="bottom"/>
          </w:tcPr>
          <w:p>
            <w:pPr>
              <w:spacing w:after="0"/>
              <w:rPr>
                <w:sz w:val="19"/>
                <w:szCs w:val="19"/>
                <w:color w:val="auto"/>
              </w:rPr>
            </w:pPr>
          </w:p>
        </w:tc>
        <w:tc>
          <w:tcPr>
            <w:tcW w:w="5360" w:type="dxa"/>
            <w:vAlign w:val="bottom"/>
          </w:tcPr>
          <w:p>
            <w:pPr>
              <w:ind w:left="2020"/>
              <w:spacing w:after="0"/>
              <w:rPr>
                <w:sz w:val="20"/>
                <w:szCs w:val="20"/>
                <w:color w:val="auto"/>
              </w:rPr>
            </w:pPr>
            <w:r>
              <w:rPr>
                <w:rFonts w:ascii="Arial" w:cs="Arial" w:eastAsia="Arial" w:hAnsi="Arial"/>
                <w:sz w:val="16"/>
                <w:szCs w:val="16"/>
                <w:b w:val="1"/>
                <w:bCs w:val="1"/>
                <w:color w:val="FFFFFF"/>
              </w:rPr>
              <w:t>2023 Features</w:t>
            </w:r>
          </w:p>
        </w:tc>
      </w:tr>
      <w:tr>
        <w:trPr>
          <w:trHeight w:val="344"/>
        </w:trPr>
        <w:tc>
          <w:tcPr>
            <w:tcW w:w="5640" w:type="dxa"/>
            <w:vAlign w:val="bottom"/>
            <w:tcBorders>
              <w:left w:val="single" w:sz="8" w:color="7D7D7D"/>
              <w:right w:val="single" w:sz="8" w:color="7D7D7D"/>
            </w:tcBorders>
            <w:gridSpan w:val="2"/>
            <w:shd w:val="clear" w:color="auto" w:fill="FAF6EF"/>
          </w:tcPr>
          <w:p>
            <w:pPr>
              <w:ind w:left="120"/>
              <w:spacing w:after="0"/>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$450,000; Mr. Kothandaraman’s base salary has remained the</w:t>
            </w:r>
          </w:p>
        </w:tc>
        <w:tc>
          <w:tcPr>
            <w:tcW w:w="5620" w:type="dxa"/>
            <w:vAlign w:val="bottom"/>
            <w:tcBorders>
              <w:right w:val="single" w:sz="8" w:color="7D7D7D"/>
            </w:tcBorders>
            <w:gridSpan w:val="2"/>
            <w:shd w:val="clear" w:color="auto" w:fill="FAF6EF"/>
          </w:tcPr>
          <w:p>
            <w:pPr>
              <w:ind w:left="100"/>
              <w:spacing w:after="0"/>
              <w:rPr>
                <w:sz w:val="20"/>
                <w:szCs w:val="20"/>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$450,000;</w:t>
            </w:r>
            <w:r>
              <w:rPr>
                <w:rFonts w:ascii="Arial" w:cs="Arial" w:eastAsia="Arial" w:hAnsi="Arial"/>
                <w:sz w:val="16"/>
                <w:szCs w:val="16"/>
                <w:b w:val="1"/>
                <w:bCs w:val="1"/>
                <w:color w:val="auto"/>
              </w:rPr>
              <w:t xml:space="preserve"> No change </w:t>
            </w:r>
            <w:r>
              <w:rPr>
                <w:rFonts w:ascii="Arial" w:cs="Arial" w:eastAsia="Arial" w:hAnsi="Arial"/>
                <w:sz w:val="16"/>
                <w:szCs w:val="16"/>
                <w:color w:val="auto"/>
              </w:rPr>
              <w:t>from 2022</w:t>
            </w:r>
          </w:p>
        </w:tc>
      </w:tr>
      <w:tr>
        <w:trPr>
          <w:trHeight w:val="206"/>
        </w:trPr>
        <w:tc>
          <w:tcPr>
            <w:tcW w:w="5640" w:type="dxa"/>
            <w:vAlign w:val="bottom"/>
            <w:tcBorders>
              <w:left w:val="single" w:sz="8" w:color="7D7D7D"/>
              <w:right w:val="single" w:sz="8" w:color="7D7D7D"/>
            </w:tcBorders>
            <w:gridSpan w:val="2"/>
            <w:shd w:val="clear" w:color="auto" w:fill="FAF6EF"/>
          </w:tcPr>
          <w:p>
            <w:pPr>
              <w:ind w:left="120"/>
              <w:spacing w:after="0"/>
              <w:rPr>
                <w:sz w:val="20"/>
                <w:szCs w:val="20"/>
                <w:color w:val="auto"/>
              </w:rPr>
            </w:pPr>
            <w:r>
              <w:rPr>
                <w:rFonts w:ascii="Arial" w:cs="Arial" w:eastAsia="Arial" w:hAnsi="Arial"/>
                <w:sz w:val="16"/>
                <w:szCs w:val="16"/>
                <w:color w:val="auto"/>
              </w:rPr>
              <w:t>same since his appointment to CEO in September 2017</w:t>
            </w:r>
          </w:p>
        </w:tc>
        <w:tc>
          <w:tcPr>
            <w:tcW w:w="260" w:type="dxa"/>
            <w:vAlign w:val="bottom"/>
            <w:shd w:val="clear" w:color="auto" w:fill="FAF6EF"/>
          </w:tcPr>
          <w:p>
            <w:pPr>
              <w:spacing w:after="0"/>
              <w:rPr>
                <w:sz w:val="17"/>
                <w:szCs w:val="17"/>
                <w:color w:val="auto"/>
              </w:rPr>
            </w:pPr>
          </w:p>
        </w:tc>
        <w:tc>
          <w:tcPr>
            <w:tcW w:w="5360" w:type="dxa"/>
            <w:vAlign w:val="bottom"/>
            <w:tcBorders>
              <w:right w:val="single" w:sz="8" w:color="7D7D7D"/>
            </w:tcBorders>
            <w:shd w:val="clear" w:color="auto" w:fill="FAF6EF"/>
          </w:tcPr>
          <w:p>
            <w:pPr>
              <w:spacing w:after="0"/>
              <w:rPr>
                <w:sz w:val="17"/>
                <w:szCs w:val="17"/>
                <w:color w:val="auto"/>
              </w:rPr>
            </w:pPr>
          </w:p>
        </w:tc>
      </w:tr>
      <w:tr>
        <w:trPr>
          <w:trHeight w:val="224"/>
        </w:trPr>
        <w:tc>
          <w:tcPr>
            <w:tcW w:w="5640" w:type="dxa"/>
            <w:vAlign w:val="bottom"/>
            <w:tcBorders>
              <w:left w:val="single" w:sz="8" w:color="7D7D7D"/>
              <w:right w:val="single" w:sz="8" w:color="7D7D7D"/>
            </w:tcBorders>
            <w:gridSpan w:val="2"/>
            <w:shd w:val="clear" w:color="auto" w:fill="FAF6EF"/>
          </w:tcPr>
          <w:p>
            <w:pPr>
              <w:spacing w:after="0"/>
              <w:rPr>
                <w:sz w:val="19"/>
                <w:szCs w:val="19"/>
                <w:color w:val="auto"/>
              </w:rPr>
            </w:pPr>
          </w:p>
        </w:tc>
        <w:tc>
          <w:tcPr>
            <w:tcW w:w="5620" w:type="dxa"/>
            <w:vAlign w:val="bottom"/>
            <w:tcBorders>
              <w:right w:val="single" w:sz="8" w:color="7D7D7D"/>
            </w:tcBorders>
            <w:gridSpan w:val="2"/>
            <w:shd w:val="clear" w:color="auto" w:fill="FAF6EF"/>
          </w:tcPr>
          <w:p>
            <w:pPr>
              <w:spacing w:after="0"/>
              <w:rPr>
                <w:sz w:val="19"/>
                <w:szCs w:val="19"/>
                <w:color w:val="auto"/>
              </w:rPr>
            </w:pPr>
          </w:p>
        </w:tc>
      </w:tr>
      <w:tr>
        <w:trPr>
          <w:trHeight w:val="385"/>
        </w:trPr>
        <w:tc>
          <w:tcPr>
            <w:tcW w:w="5640" w:type="dxa"/>
            <w:vAlign w:val="bottom"/>
            <w:tcBorders>
              <w:left w:val="single" w:sz="8" w:color="7D7D7D"/>
              <w:right w:val="single" w:sz="8" w:color="7D7D7D"/>
            </w:tcBorders>
            <w:gridSpan w:val="2"/>
          </w:tcPr>
          <w:p>
            <w:pPr>
              <w:ind w:left="120"/>
              <w:spacing w:after="0"/>
              <w:rPr>
                <w:sz w:val="20"/>
                <w:szCs w:val="20"/>
                <w:color w:val="auto"/>
              </w:rPr>
            </w:pPr>
            <w:r>
              <w:rPr>
                <w:rFonts w:ascii="Arial" w:cs="Arial" w:eastAsia="Arial" w:hAnsi="Arial"/>
                <w:sz w:val="16"/>
                <w:szCs w:val="16"/>
                <w:b w:val="1"/>
                <w:bCs w:val="1"/>
                <w:color w:val="auto"/>
              </w:rPr>
              <w:t xml:space="preserve">Quarterly Cash Bonus Program: </w:t>
            </w:r>
            <w:r>
              <w:rPr>
                <w:rFonts w:ascii="Arial" w:cs="Arial" w:eastAsia="Arial" w:hAnsi="Arial"/>
                <w:sz w:val="16"/>
                <w:szCs w:val="16"/>
                <w:color w:val="auto"/>
              </w:rPr>
              <w:t>100% of base salary</w:t>
            </w:r>
          </w:p>
        </w:tc>
        <w:tc>
          <w:tcPr>
            <w:tcW w:w="5620" w:type="dxa"/>
            <w:vAlign w:val="bottom"/>
            <w:tcBorders>
              <w:right w:val="single" w:sz="8" w:color="7D7D7D"/>
            </w:tcBorders>
            <w:gridSpan w:val="2"/>
          </w:tcPr>
          <w:p>
            <w:pPr>
              <w:ind w:left="100"/>
              <w:spacing w:after="0"/>
              <w:rPr>
                <w:sz w:val="20"/>
                <w:szCs w:val="20"/>
                <w:color w:val="auto"/>
              </w:rPr>
            </w:pPr>
            <w:r>
              <w:rPr>
                <w:rFonts w:ascii="Arial" w:cs="Arial" w:eastAsia="Arial" w:hAnsi="Arial"/>
                <w:sz w:val="16"/>
                <w:szCs w:val="16"/>
                <w:b w:val="1"/>
                <w:bCs w:val="1"/>
                <w:color w:val="auto"/>
                <w:w w:val="98"/>
              </w:rPr>
              <w:t xml:space="preserve">Quarterly Cash Bonus Program: </w:t>
            </w:r>
            <w:r>
              <w:rPr>
                <w:rFonts w:ascii="Arial" w:cs="Arial" w:eastAsia="Arial" w:hAnsi="Arial"/>
                <w:sz w:val="16"/>
                <w:szCs w:val="16"/>
                <w:color w:val="auto"/>
                <w:w w:val="98"/>
              </w:rPr>
              <w:t>100% of base salary;</w:t>
            </w:r>
            <w:r>
              <w:rPr>
                <w:rFonts w:ascii="Arial" w:cs="Arial" w:eastAsia="Arial" w:hAnsi="Arial"/>
                <w:sz w:val="16"/>
                <w:szCs w:val="16"/>
                <w:b w:val="1"/>
                <w:bCs w:val="1"/>
                <w:color w:val="auto"/>
                <w:w w:val="98"/>
              </w:rPr>
              <w:t xml:space="preserve"> No change </w:t>
            </w:r>
            <w:r>
              <w:rPr>
                <w:rFonts w:ascii="Arial" w:cs="Arial" w:eastAsia="Arial" w:hAnsi="Arial"/>
                <w:sz w:val="16"/>
                <w:szCs w:val="16"/>
                <w:color w:val="auto"/>
                <w:w w:val="98"/>
              </w:rPr>
              <w:t>from prior</w:t>
            </w:r>
          </w:p>
        </w:tc>
      </w:tr>
      <w:tr>
        <w:trPr>
          <w:trHeight w:val="217"/>
        </w:trPr>
        <w:tc>
          <w:tcPr>
            <w:tcW w:w="280" w:type="dxa"/>
            <w:vAlign w:val="bottom"/>
            <w:tcBorders>
              <w:left w:val="single" w:sz="8" w:color="7D7D7D"/>
            </w:tcBorders>
          </w:tcPr>
          <w:p>
            <w:pPr>
              <w:spacing w:after="0"/>
              <w:rPr>
                <w:sz w:val="18"/>
                <w:szCs w:val="18"/>
                <w:color w:val="auto"/>
              </w:rPr>
            </w:pPr>
          </w:p>
        </w:tc>
        <w:tc>
          <w:tcPr>
            <w:tcW w:w="5360" w:type="dxa"/>
            <w:vAlign w:val="bottom"/>
            <w:tcBorders>
              <w:right w:val="single" w:sz="8" w:color="7D7D7D"/>
            </w:tcBorders>
          </w:tcPr>
          <w:p>
            <w:pPr>
              <w:spacing w:after="0"/>
              <w:rPr>
                <w:sz w:val="18"/>
                <w:szCs w:val="18"/>
                <w:color w:val="auto"/>
              </w:rPr>
            </w:pPr>
          </w:p>
        </w:tc>
        <w:tc>
          <w:tcPr>
            <w:tcW w:w="5620" w:type="dxa"/>
            <w:vAlign w:val="bottom"/>
            <w:tcBorders>
              <w:right w:val="single" w:sz="8" w:color="7D7D7D"/>
            </w:tcBorders>
            <w:gridSpan w:val="2"/>
          </w:tcPr>
          <w:p>
            <w:pPr>
              <w:ind w:left="100"/>
              <w:spacing w:after="0"/>
              <w:rPr>
                <w:sz w:val="20"/>
                <w:szCs w:val="20"/>
                <w:color w:val="auto"/>
              </w:rPr>
            </w:pPr>
            <w:r>
              <w:rPr>
                <w:rFonts w:ascii="Arial" w:cs="Arial" w:eastAsia="Arial" w:hAnsi="Arial"/>
                <w:sz w:val="16"/>
                <w:szCs w:val="16"/>
                <w:color w:val="auto"/>
                <w:w w:val="98"/>
              </w:rPr>
              <w:t xml:space="preserve">year, however, we </w:t>
            </w:r>
            <w:r>
              <w:rPr>
                <w:rFonts w:ascii="Arial" w:cs="Arial" w:eastAsia="Arial" w:hAnsi="Arial"/>
                <w:sz w:val="16"/>
                <w:szCs w:val="16"/>
                <w:b w:val="1"/>
                <w:bCs w:val="1"/>
                <w:color w:val="auto"/>
                <w:w w:val="98"/>
              </w:rPr>
              <w:t>added an ESG-based metric target</w:t>
            </w:r>
            <w:r>
              <w:rPr>
                <w:rFonts w:ascii="Arial" w:cs="Arial" w:eastAsia="Arial" w:hAnsi="Arial"/>
                <w:sz w:val="16"/>
                <w:szCs w:val="16"/>
                <w:color w:val="auto"/>
                <w:w w:val="98"/>
              </w:rPr>
              <w:t xml:space="preserve"> as part of the rigorous</w:t>
            </w:r>
          </w:p>
        </w:tc>
      </w:tr>
      <w:tr>
        <w:trPr>
          <w:trHeight w:val="206"/>
        </w:trPr>
        <w:tc>
          <w:tcPr>
            <w:tcW w:w="280" w:type="dxa"/>
            <w:vAlign w:val="bottom"/>
            <w:tcBorders>
              <w:left w:val="single" w:sz="8" w:color="7D7D7D"/>
            </w:tcBorders>
          </w:tcPr>
          <w:p>
            <w:pPr>
              <w:spacing w:after="0"/>
              <w:rPr>
                <w:sz w:val="17"/>
                <w:szCs w:val="17"/>
                <w:color w:val="auto"/>
              </w:rPr>
            </w:pPr>
          </w:p>
        </w:tc>
        <w:tc>
          <w:tcPr>
            <w:tcW w:w="5360" w:type="dxa"/>
            <w:vAlign w:val="bottom"/>
            <w:tcBorders>
              <w:right w:val="single" w:sz="8" w:color="7D7D7D"/>
            </w:tcBorders>
          </w:tcPr>
          <w:p>
            <w:pPr>
              <w:spacing w:after="0"/>
              <w:rPr>
                <w:sz w:val="17"/>
                <w:szCs w:val="17"/>
                <w:color w:val="auto"/>
              </w:rPr>
            </w:pPr>
          </w:p>
        </w:tc>
        <w:tc>
          <w:tcPr>
            <w:tcW w:w="5620" w:type="dxa"/>
            <w:vAlign w:val="bottom"/>
            <w:tcBorders>
              <w:right w:val="single" w:sz="8" w:color="7D7D7D"/>
            </w:tcBorders>
            <w:gridSpan w:val="2"/>
          </w:tcPr>
          <w:p>
            <w:pPr>
              <w:ind w:left="100"/>
              <w:spacing w:after="0"/>
              <w:rPr>
                <w:sz w:val="20"/>
                <w:szCs w:val="20"/>
                <w:color w:val="auto"/>
              </w:rPr>
            </w:pPr>
            <w:r>
              <w:rPr>
                <w:rFonts w:ascii="Arial" w:cs="Arial" w:eastAsia="Arial" w:hAnsi="Arial"/>
                <w:sz w:val="16"/>
                <w:szCs w:val="16"/>
                <w:color w:val="auto"/>
              </w:rPr>
              <w:t>metrics</w:t>
            </w:r>
          </w:p>
        </w:tc>
      </w:tr>
      <w:tr>
        <w:trPr>
          <w:trHeight w:val="342"/>
        </w:trPr>
        <w:tc>
          <w:tcPr>
            <w:tcW w:w="5640" w:type="dxa"/>
            <w:vAlign w:val="bottom"/>
            <w:tcBorders>
              <w:left w:val="single" w:sz="8" w:color="7D7D7D"/>
              <w:right w:val="single" w:sz="8" w:color="7D7D7D"/>
            </w:tcBorders>
            <w:gridSpan w:val="2"/>
          </w:tcPr>
          <w:p>
            <w:pPr>
              <w:spacing w:after="0"/>
              <w:rPr>
                <w:sz w:val="24"/>
                <w:szCs w:val="24"/>
                <w:color w:val="auto"/>
              </w:rPr>
            </w:pPr>
          </w:p>
        </w:tc>
        <w:tc>
          <w:tcPr>
            <w:tcW w:w="5620" w:type="dxa"/>
            <w:vAlign w:val="bottom"/>
            <w:tcBorders>
              <w:right w:val="single" w:sz="8" w:color="7D7D7D"/>
            </w:tcBorders>
            <w:gridSpan w:val="2"/>
          </w:tcPr>
          <w:p>
            <w:pPr>
              <w:spacing w:after="0"/>
              <w:rPr>
                <w:sz w:val="24"/>
                <w:szCs w:val="24"/>
                <w:color w:val="auto"/>
              </w:rPr>
            </w:pPr>
          </w:p>
        </w:tc>
      </w:tr>
      <w:tr>
        <w:trPr>
          <w:trHeight w:val="385"/>
        </w:trPr>
        <w:tc>
          <w:tcPr>
            <w:tcW w:w="5640" w:type="dxa"/>
            <w:vAlign w:val="bottom"/>
            <w:tcBorders>
              <w:left w:val="single" w:sz="8" w:color="7D7D7D"/>
              <w:right w:val="single" w:sz="8" w:color="7D7D7D"/>
            </w:tcBorders>
            <w:gridSpan w:val="2"/>
            <w:shd w:val="clear" w:color="auto" w:fill="FAF6EF"/>
          </w:tcPr>
          <w:p>
            <w:pPr>
              <w:ind w:left="120"/>
              <w:spacing w:after="0"/>
              <w:rPr>
                <w:sz w:val="20"/>
                <w:szCs w:val="20"/>
                <w:color w:val="auto"/>
              </w:rPr>
            </w:pPr>
            <w:r>
              <w:rPr>
                <w:rFonts w:ascii="Arial" w:cs="Arial" w:eastAsia="Arial" w:hAnsi="Arial"/>
                <w:sz w:val="16"/>
                <w:szCs w:val="16"/>
                <w:b w:val="1"/>
                <w:bCs w:val="1"/>
                <w:color w:val="auto"/>
              </w:rPr>
              <w:t xml:space="preserve">Equity-Based Incentives Award Mix: </w:t>
            </w:r>
            <w:r>
              <w:rPr>
                <w:rFonts w:ascii="Arial" w:cs="Arial" w:eastAsia="Arial" w:hAnsi="Arial"/>
                <w:sz w:val="16"/>
                <w:szCs w:val="16"/>
                <w:color w:val="auto"/>
              </w:rPr>
              <w:t>60%/40% Mix</w:t>
            </w:r>
          </w:p>
        </w:tc>
        <w:tc>
          <w:tcPr>
            <w:tcW w:w="5620" w:type="dxa"/>
            <w:vAlign w:val="bottom"/>
            <w:tcBorders>
              <w:right w:val="single" w:sz="8" w:color="7D7D7D"/>
            </w:tcBorders>
            <w:gridSpan w:val="2"/>
            <w:shd w:val="clear" w:color="auto" w:fill="FAF6EF"/>
          </w:tcPr>
          <w:p>
            <w:pPr>
              <w:ind w:left="100"/>
              <w:spacing w:after="0"/>
              <w:rPr>
                <w:sz w:val="20"/>
                <w:szCs w:val="20"/>
                <w:color w:val="auto"/>
              </w:rPr>
            </w:pPr>
            <w:r>
              <w:rPr>
                <w:rFonts w:ascii="Arial" w:cs="Arial" w:eastAsia="Arial" w:hAnsi="Arial"/>
                <w:sz w:val="16"/>
                <w:szCs w:val="16"/>
                <w:b w:val="1"/>
                <w:bCs w:val="1"/>
                <w:color w:val="auto"/>
              </w:rPr>
              <w:t xml:space="preserve">Equity-Based Incentives Award Mix: </w:t>
            </w:r>
            <w:r>
              <w:rPr>
                <w:rFonts w:ascii="Arial" w:cs="Arial" w:eastAsia="Arial" w:hAnsi="Arial"/>
                <w:sz w:val="16"/>
                <w:szCs w:val="16"/>
                <w:color w:val="auto"/>
              </w:rPr>
              <w:t>67%/33% Mix</w:t>
            </w:r>
          </w:p>
        </w:tc>
      </w:tr>
      <w:tr>
        <w:trPr>
          <w:trHeight w:val="327"/>
        </w:trPr>
        <w:tc>
          <w:tcPr>
            <w:tcW w:w="5640" w:type="dxa"/>
            <w:vAlign w:val="bottom"/>
            <w:tcBorders>
              <w:left w:val="single" w:sz="8" w:color="7D7D7D"/>
              <w:right w:val="single" w:sz="8" w:color="7D7D7D"/>
            </w:tcBorders>
            <w:gridSpan w:val="2"/>
            <w:shd w:val="clear" w:color="auto" w:fill="FAF6EF"/>
          </w:tcPr>
          <w:p>
            <w:pPr>
              <w:ind w:left="120"/>
              <w:spacing w:after="0"/>
              <w:rPr>
                <w:sz w:val="20"/>
                <w:szCs w:val="20"/>
                <w:color w:val="auto"/>
              </w:rPr>
            </w:pPr>
            <w:r>
              <w:rPr>
                <w:rFonts w:ascii="Arial" w:cs="Arial" w:eastAsia="Arial" w:hAnsi="Arial"/>
                <w:sz w:val="16"/>
                <w:szCs w:val="16"/>
                <w:color w:val="auto"/>
              </w:rPr>
              <w:t>60% performance-based vesting</w:t>
            </w:r>
          </w:p>
        </w:tc>
        <w:tc>
          <w:tcPr>
            <w:tcW w:w="5620" w:type="dxa"/>
            <w:vAlign w:val="bottom"/>
            <w:tcBorders>
              <w:right w:val="single" w:sz="8" w:color="7D7D7D"/>
            </w:tcBorders>
            <w:gridSpan w:val="2"/>
            <w:shd w:val="clear" w:color="auto" w:fill="FAF6EF"/>
          </w:tcPr>
          <w:p>
            <w:pPr>
              <w:ind w:left="100"/>
              <w:spacing w:after="0"/>
              <w:rPr>
                <w:sz w:val="20"/>
                <w:szCs w:val="20"/>
                <w:color w:val="auto"/>
              </w:rPr>
            </w:pPr>
            <w:r>
              <w:rPr>
                <w:rFonts w:ascii="Arial" w:cs="Arial" w:eastAsia="Arial" w:hAnsi="Arial"/>
                <w:sz w:val="16"/>
                <w:szCs w:val="16"/>
                <w:b w:val="1"/>
                <w:bCs w:val="1"/>
                <w:color w:val="auto"/>
              </w:rPr>
              <w:t>67% performance-based vesting</w:t>
            </w:r>
          </w:p>
        </w:tc>
      </w:tr>
      <w:tr>
        <w:trPr>
          <w:trHeight w:val="253"/>
        </w:trPr>
        <w:tc>
          <w:tcPr>
            <w:tcW w:w="280" w:type="dxa"/>
            <w:vAlign w:val="bottom"/>
            <w:tcBorders>
              <w:left w:val="single" w:sz="8" w:color="7D7D7D"/>
            </w:tcBorders>
            <w:shd w:val="clear" w:color="auto" w:fill="FAF6EF"/>
          </w:tcPr>
          <w:p>
            <w:pPr>
              <w:ind w:left="200"/>
              <w:spacing w:after="0"/>
              <w:rPr>
                <w:sz w:val="20"/>
                <w:szCs w:val="20"/>
                <w:color w:val="auto"/>
              </w:rPr>
            </w:pPr>
            <w:r>
              <w:rPr>
                <w:rFonts w:ascii="Arial" w:cs="Arial" w:eastAsia="Arial" w:hAnsi="Arial"/>
                <w:sz w:val="12"/>
                <w:szCs w:val="12"/>
                <w:color w:val="auto"/>
              </w:rPr>
              <w:t>•</w:t>
            </w:r>
          </w:p>
        </w:tc>
        <w:tc>
          <w:tcPr>
            <w:tcW w:w="5360" w:type="dxa"/>
            <w:vAlign w:val="bottom"/>
            <w:tcBorders>
              <w:right w:val="single" w:sz="8" w:color="7D7D7D"/>
            </w:tcBorders>
            <w:shd w:val="clear" w:color="auto" w:fill="FAF6EF"/>
          </w:tcPr>
          <w:p>
            <w:pPr>
              <w:ind w:left="40"/>
              <w:spacing w:after="0"/>
              <w:rPr>
                <w:sz w:val="20"/>
                <w:szCs w:val="20"/>
                <w:color w:val="auto"/>
              </w:rPr>
            </w:pPr>
            <w:r>
              <w:rPr>
                <w:rFonts w:ascii="Arial" w:cs="Arial" w:eastAsia="Arial" w:hAnsi="Arial"/>
                <w:sz w:val="16"/>
                <w:szCs w:val="16"/>
                <w:color w:val="auto"/>
              </w:rPr>
              <w:t>30% tied to Annual CEO Smart Goals</w:t>
            </w:r>
          </w:p>
        </w:tc>
        <w:tc>
          <w:tcPr>
            <w:tcW w:w="260" w:type="dxa"/>
            <w:vAlign w:val="bottom"/>
            <w:shd w:val="clear" w:color="auto" w:fill="FAF6EF"/>
          </w:tcPr>
          <w:p>
            <w:pPr>
              <w:ind w:left="180"/>
              <w:spacing w:after="0"/>
              <w:rPr>
                <w:sz w:val="20"/>
                <w:szCs w:val="20"/>
                <w:color w:val="auto"/>
              </w:rPr>
            </w:pPr>
            <w:r>
              <w:rPr>
                <w:rFonts w:ascii="Arial" w:cs="Arial" w:eastAsia="Arial" w:hAnsi="Arial"/>
                <w:sz w:val="12"/>
                <w:szCs w:val="12"/>
                <w:color w:val="auto"/>
              </w:rPr>
              <w:t>•</w:t>
            </w:r>
          </w:p>
        </w:tc>
        <w:tc>
          <w:tcPr>
            <w:tcW w:w="5360" w:type="dxa"/>
            <w:vAlign w:val="bottom"/>
            <w:tcBorders>
              <w:right w:val="single" w:sz="8" w:color="7D7D7D"/>
            </w:tcBorders>
            <w:shd w:val="clear" w:color="auto" w:fill="FAF6EF"/>
          </w:tcPr>
          <w:p>
            <w:pPr>
              <w:ind w:left="40"/>
              <w:spacing w:after="0"/>
              <w:rPr>
                <w:sz w:val="20"/>
                <w:szCs w:val="20"/>
                <w:color w:val="auto"/>
              </w:rPr>
            </w:pPr>
            <w:r>
              <w:rPr>
                <w:rFonts w:ascii="Arial" w:cs="Arial" w:eastAsia="Arial" w:hAnsi="Arial"/>
                <w:sz w:val="16"/>
                <w:szCs w:val="16"/>
                <w:color w:val="auto"/>
              </w:rPr>
              <w:t>33% tied to Annual CEO Smart Goals</w:t>
            </w:r>
          </w:p>
        </w:tc>
      </w:tr>
      <w:tr>
        <w:trPr>
          <w:trHeight w:val="282"/>
        </w:trPr>
        <w:tc>
          <w:tcPr>
            <w:tcW w:w="280" w:type="dxa"/>
            <w:vAlign w:val="bottom"/>
            <w:tcBorders>
              <w:left w:val="single" w:sz="8" w:color="7D7D7D"/>
            </w:tcBorders>
            <w:shd w:val="clear" w:color="auto" w:fill="FAF6EF"/>
          </w:tcPr>
          <w:p>
            <w:pPr>
              <w:ind w:left="200"/>
              <w:spacing w:after="0"/>
              <w:rPr>
                <w:sz w:val="20"/>
                <w:szCs w:val="20"/>
                <w:color w:val="auto"/>
              </w:rPr>
            </w:pPr>
            <w:r>
              <w:rPr>
                <w:rFonts w:ascii="Arial" w:cs="Arial" w:eastAsia="Arial" w:hAnsi="Arial"/>
                <w:sz w:val="12"/>
                <w:szCs w:val="12"/>
                <w:color w:val="auto"/>
              </w:rPr>
              <w:t>•</w:t>
            </w:r>
          </w:p>
        </w:tc>
        <w:tc>
          <w:tcPr>
            <w:tcW w:w="5360" w:type="dxa"/>
            <w:vAlign w:val="bottom"/>
            <w:tcBorders>
              <w:right w:val="single" w:sz="8" w:color="7D7D7D"/>
            </w:tcBorders>
            <w:shd w:val="clear" w:color="auto" w:fill="FAF6EF"/>
          </w:tcPr>
          <w:p>
            <w:pPr>
              <w:ind w:left="40"/>
              <w:spacing w:after="0"/>
              <w:rPr>
                <w:sz w:val="20"/>
                <w:szCs w:val="20"/>
                <w:color w:val="auto"/>
              </w:rPr>
            </w:pPr>
            <w:r>
              <w:rPr>
                <w:rFonts w:ascii="Arial" w:cs="Arial" w:eastAsia="Arial" w:hAnsi="Arial"/>
                <w:sz w:val="16"/>
                <w:szCs w:val="16"/>
                <w:color w:val="auto"/>
              </w:rPr>
              <w:t>30% tied to Annual Individual Performance Goals</w:t>
            </w:r>
          </w:p>
        </w:tc>
        <w:tc>
          <w:tcPr>
            <w:tcW w:w="260" w:type="dxa"/>
            <w:vAlign w:val="bottom"/>
            <w:shd w:val="clear" w:color="auto" w:fill="FAF6EF"/>
          </w:tcPr>
          <w:p>
            <w:pPr>
              <w:ind w:left="180"/>
              <w:spacing w:after="0"/>
              <w:rPr>
                <w:sz w:val="20"/>
                <w:szCs w:val="20"/>
                <w:color w:val="auto"/>
              </w:rPr>
            </w:pPr>
            <w:r>
              <w:rPr>
                <w:rFonts w:ascii="Arial" w:cs="Arial" w:eastAsia="Arial" w:hAnsi="Arial"/>
                <w:sz w:val="12"/>
                <w:szCs w:val="12"/>
                <w:b w:val="1"/>
                <w:bCs w:val="1"/>
                <w:color w:val="auto"/>
              </w:rPr>
              <w:t>•</w:t>
            </w:r>
          </w:p>
        </w:tc>
        <w:tc>
          <w:tcPr>
            <w:tcW w:w="5360" w:type="dxa"/>
            <w:vAlign w:val="bottom"/>
            <w:tcBorders>
              <w:right w:val="single" w:sz="8" w:color="7D7D7D"/>
            </w:tcBorders>
            <w:shd w:val="clear" w:color="auto" w:fill="FAF6EF"/>
          </w:tcPr>
          <w:p>
            <w:pPr>
              <w:ind w:left="40"/>
              <w:spacing w:after="0"/>
              <w:rPr>
                <w:sz w:val="20"/>
                <w:szCs w:val="20"/>
                <w:color w:val="auto"/>
              </w:rPr>
            </w:pPr>
            <w:r>
              <w:rPr>
                <w:rFonts w:ascii="Arial" w:cs="Arial" w:eastAsia="Arial" w:hAnsi="Arial"/>
                <w:sz w:val="16"/>
                <w:szCs w:val="16"/>
                <w:b w:val="1"/>
                <w:bCs w:val="1"/>
                <w:color w:val="auto"/>
              </w:rPr>
              <w:t>34% tied to a three-year relative TSR metric</w:t>
            </w:r>
          </w:p>
        </w:tc>
      </w:tr>
      <w:tr>
        <w:trPr>
          <w:trHeight w:val="274"/>
        </w:trPr>
        <w:tc>
          <w:tcPr>
            <w:tcW w:w="5640" w:type="dxa"/>
            <w:vAlign w:val="bottom"/>
            <w:tcBorders>
              <w:left w:val="single" w:sz="8" w:color="7D7D7D"/>
              <w:right w:val="single" w:sz="8" w:color="7D7D7D"/>
            </w:tcBorders>
            <w:gridSpan w:val="2"/>
            <w:shd w:val="clear" w:color="auto" w:fill="FAF6EF"/>
          </w:tcPr>
          <w:p>
            <w:pPr>
              <w:ind w:left="120"/>
              <w:spacing w:after="0"/>
              <w:rPr>
                <w:sz w:val="20"/>
                <w:szCs w:val="20"/>
                <w:color w:val="auto"/>
              </w:rPr>
            </w:pPr>
            <w:r>
              <w:rPr>
                <w:rFonts w:ascii="Arial" w:cs="Arial" w:eastAsia="Arial" w:hAnsi="Arial"/>
                <w:sz w:val="16"/>
                <w:szCs w:val="16"/>
                <w:color w:val="auto"/>
              </w:rPr>
              <w:t>40% time-based vesting over two years</w:t>
            </w:r>
          </w:p>
        </w:tc>
        <w:tc>
          <w:tcPr>
            <w:tcW w:w="5620" w:type="dxa"/>
            <w:vAlign w:val="bottom"/>
            <w:tcBorders>
              <w:right w:val="single" w:sz="8" w:color="7D7D7D"/>
            </w:tcBorders>
            <w:gridSpan w:val="2"/>
            <w:shd w:val="clear" w:color="auto" w:fill="FAF6EF"/>
          </w:tcPr>
          <w:p>
            <w:pPr>
              <w:ind w:left="100"/>
              <w:spacing w:after="0"/>
              <w:rPr>
                <w:sz w:val="20"/>
                <w:szCs w:val="20"/>
                <w:color w:val="auto"/>
              </w:rPr>
            </w:pPr>
            <w:r>
              <w:rPr>
                <w:rFonts w:ascii="Arial" w:cs="Arial" w:eastAsia="Arial" w:hAnsi="Arial"/>
                <w:sz w:val="16"/>
                <w:szCs w:val="16"/>
                <w:color w:val="auto"/>
              </w:rPr>
              <w:t xml:space="preserve">33% time-based </w:t>
            </w:r>
            <w:r>
              <w:rPr>
                <w:rFonts w:ascii="Arial" w:cs="Arial" w:eastAsia="Arial" w:hAnsi="Arial"/>
                <w:sz w:val="16"/>
                <w:szCs w:val="16"/>
                <w:b w:val="1"/>
                <w:bCs w:val="1"/>
                <w:color w:val="auto"/>
              </w:rPr>
              <w:t>vesting over three years</w:t>
            </w:r>
          </w:p>
        </w:tc>
      </w:tr>
      <w:tr>
        <w:trPr>
          <w:trHeight w:val="282"/>
        </w:trPr>
        <w:tc>
          <w:tcPr>
            <w:tcW w:w="280" w:type="dxa"/>
            <w:vAlign w:val="bottom"/>
            <w:tcBorders>
              <w:left w:val="single" w:sz="8" w:color="7D7D7D"/>
            </w:tcBorders>
            <w:shd w:val="clear" w:color="auto" w:fill="FAF6EF"/>
          </w:tcPr>
          <w:p>
            <w:pPr>
              <w:spacing w:after="0"/>
              <w:rPr>
                <w:sz w:val="24"/>
                <w:szCs w:val="24"/>
                <w:color w:val="auto"/>
              </w:rPr>
            </w:pPr>
          </w:p>
        </w:tc>
        <w:tc>
          <w:tcPr>
            <w:tcW w:w="5360" w:type="dxa"/>
            <w:vAlign w:val="bottom"/>
            <w:tcBorders>
              <w:right w:val="single" w:sz="8" w:color="7D7D7D"/>
            </w:tcBorders>
            <w:shd w:val="clear" w:color="auto" w:fill="FAF6EF"/>
          </w:tcPr>
          <w:p>
            <w:pPr>
              <w:spacing w:after="0"/>
              <w:rPr>
                <w:sz w:val="24"/>
                <w:szCs w:val="24"/>
                <w:color w:val="auto"/>
              </w:rPr>
            </w:pPr>
          </w:p>
        </w:tc>
        <w:tc>
          <w:tcPr>
            <w:tcW w:w="260" w:type="dxa"/>
            <w:vAlign w:val="bottom"/>
            <w:shd w:val="clear" w:color="auto" w:fill="FAF6EF"/>
          </w:tcPr>
          <w:p>
            <w:pPr>
              <w:spacing w:after="0"/>
              <w:rPr>
                <w:sz w:val="24"/>
                <w:szCs w:val="24"/>
                <w:color w:val="auto"/>
              </w:rPr>
            </w:pPr>
          </w:p>
        </w:tc>
        <w:tc>
          <w:tcPr>
            <w:tcW w:w="5360" w:type="dxa"/>
            <w:vAlign w:val="bottom"/>
            <w:tcBorders>
              <w:right w:val="single" w:sz="8" w:color="7D7D7D"/>
            </w:tcBorders>
            <w:shd w:val="clear" w:color="auto" w:fill="FAF6E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54" w:right="319" w:bottom="1440" w:gutter="0" w:footer="0" w:header="0"/>
        </w:sectPr>
      </w:pPr>
    </w:p>
    <w:bookmarkStart w:id="33" w:name="page34"/>
    <w:bookmarkEnd w:id="33"/>
    <w:p>
      <w:pPr>
        <w:jc w:val="both"/>
        <w:spacing w:after="0" w:line="304" w:lineRule="auto"/>
        <w:rPr>
          <w:sz w:val="20"/>
          <w:szCs w:val="20"/>
          <w:color w:val="auto"/>
        </w:rPr>
      </w:pPr>
      <w:r>
        <w:rPr>
          <w:rFonts w:ascii="Arial" w:cs="Arial" w:eastAsia="Arial" w:hAnsi="Arial"/>
          <w:sz w:val="16"/>
          <w:szCs w:val="16"/>
          <w:color w:val="auto"/>
        </w:rPr>
        <w:t>In designing our compensation program, the Compensation Committee sought to balance retention and motivation objectives by incorporating a mix of performance-vesting equity and long-term time-vesting equity, based on a balanced scorecard, which we believe when achieved will lead to our success over the long term. The important features of our executive compensation program for 2023 included the following:</w:t>
      </w:r>
    </w:p>
    <w:p>
      <w:pPr>
        <w:spacing w:after="0" w:line="109" w:lineRule="exact"/>
        <w:rPr>
          <w:sz w:val="20"/>
          <w:szCs w:val="20"/>
          <w:color w:val="auto"/>
        </w:rPr>
      </w:pPr>
    </w:p>
    <w:p>
      <w:pPr>
        <w:jc w:val="both"/>
        <w:ind w:left="320" w:hanging="159"/>
        <w:spacing w:after="0" w:line="305" w:lineRule="auto"/>
        <w:tabs>
          <w:tab w:leader="none" w:pos="297" w:val="left"/>
        </w:tabs>
        <w:numPr>
          <w:ilvl w:val="0"/>
          <w:numId w:val="24"/>
        </w:numPr>
        <w:rPr>
          <w:rFonts w:ascii="Arial" w:cs="Arial" w:eastAsia="Arial" w:hAnsi="Arial"/>
          <w:sz w:val="12"/>
          <w:szCs w:val="12"/>
          <w:color w:val="auto"/>
        </w:rPr>
      </w:pPr>
      <w:r>
        <w:rPr>
          <w:rFonts w:ascii="Arial" w:cs="Arial" w:eastAsia="Arial" w:hAnsi="Arial"/>
          <w:sz w:val="16"/>
          <w:szCs w:val="16"/>
          <w:b w:val="1"/>
          <w:bCs w:val="1"/>
          <w:color w:val="auto"/>
        </w:rPr>
        <w:t xml:space="preserve">A substantial portion of executive pay is tied to performance. </w:t>
      </w:r>
      <w:r>
        <w:rPr>
          <w:rFonts w:ascii="Arial" w:cs="Arial" w:eastAsia="Arial" w:hAnsi="Arial"/>
          <w:sz w:val="16"/>
          <w:szCs w:val="16"/>
          <w:color w:val="auto"/>
        </w:rPr>
        <w:t>We structure a significant portion of our NEOs’ compensation to be variable (at risk) based</w:t>
      </w:r>
      <w:r>
        <w:rPr>
          <w:rFonts w:ascii="Arial" w:cs="Arial" w:eastAsia="Arial" w:hAnsi="Arial"/>
          <w:sz w:val="16"/>
          <w:szCs w:val="16"/>
          <w:b w:val="1"/>
          <w:bCs w:val="1"/>
          <w:color w:val="auto"/>
        </w:rPr>
        <w:t xml:space="preserve"> </w:t>
      </w:r>
      <w:r>
        <w:rPr>
          <w:rFonts w:ascii="Arial" w:cs="Arial" w:eastAsia="Arial" w:hAnsi="Arial"/>
          <w:sz w:val="16"/>
          <w:szCs w:val="16"/>
          <w:color w:val="auto"/>
        </w:rPr>
        <w:t>on achievement of rigorous performance metrics and targets. For 2023, 69% of our CEO’s total target compensation and an average of 51% of our other NEOs’ total target compensation was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78105</wp:posOffset>
            </wp:positionV>
            <wp:extent cx="5750560" cy="31121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0560" cy="311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0"/>
        <w:spacing w:after="0"/>
        <w:rPr>
          <w:sz w:val="20"/>
          <w:szCs w:val="20"/>
          <w:color w:val="auto"/>
        </w:rPr>
      </w:pPr>
      <w:r>
        <w:rPr>
          <w:rFonts w:ascii="Wingdings" w:cs="Wingdings" w:eastAsia="Wingdings" w:hAnsi="Wingdings"/>
          <w:sz w:val="17"/>
          <w:szCs w:val="17"/>
          <w:b w:val="1"/>
          <w:bCs w:val="1"/>
          <w:color w:val="3B999E"/>
        </w:rPr>
        <w:t xml:space="preserve">n </w:t>
      </w:r>
      <w:r>
        <w:rPr>
          <w:rFonts w:ascii="Arial" w:cs="Arial" w:eastAsia="Arial" w:hAnsi="Arial"/>
          <w:sz w:val="15"/>
          <w:szCs w:val="15"/>
          <w:b w:val="1"/>
          <w:bCs w:val="1"/>
          <w:color w:val="000000"/>
        </w:rPr>
        <w:t>Base Salary</w:t>
      </w:r>
    </w:p>
    <w:p>
      <w:pPr>
        <w:ind w:left="4000"/>
        <w:spacing w:after="0" w:line="216" w:lineRule="auto"/>
        <w:rPr>
          <w:sz w:val="20"/>
          <w:szCs w:val="20"/>
          <w:color w:val="auto"/>
        </w:rPr>
      </w:pPr>
      <w:r>
        <w:rPr>
          <w:rFonts w:ascii="Wingdings" w:cs="Wingdings" w:eastAsia="Wingdings" w:hAnsi="Wingdings"/>
          <w:sz w:val="17"/>
          <w:szCs w:val="17"/>
          <w:b w:val="1"/>
          <w:bCs w:val="1"/>
          <w:color w:val="2C436F"/>
        </w:rPr>
        <w:t xml:space="preserve">n </w:t>
      </w:r>
      <w:r>
        <w:rPr>
          <w:rFonts w:ascii="Arial" w:cs="Arial" w:eastAsia="Arial" w:hAnsi="Arial"/>
          <w:sz w:val="15"/>
          <w:szCs w:val="15"/>
          <w:b w:val="1"/>
          <w:bCs w:val="1"/>
          <w:color w:val="000000"/>
        </w:rPr>
        <w:t>Time-Based RSUs</w:t>
      </w:r>
    </w:p>
    <w:p>
      <w:pPr>
        <w:ind w:left="4160" w:hanging="165"/>
        <w:spacing w:after="0" w:line="234" w:lineRule="auto"/>
        <w:tabs>
          <w:tab w:leader="none" w:pos="4160" w:val="left"/>
        </w:tabs>
        <w:numPr>
          <w:ilvl w:val="0"/>
          <w:numId w:val="25"/>
        </w:numPr>
        <w:rPr>
          <w:rFonts w:ascii="Wingdings" w:cs="Wingdings" w:eastAsia="Wingdings" w:hAnsi="Wingdings"/>
          <w:sz w:val="17"/>
          <w:szCs w:val="17"/>
          <w:b w:val="1"/>
          <w:bCs w:val="1"/>
          <w:color w:val="FFD02C"/>
        </w:rPr>
      </w:pPr>
      <w:r>
        <w:rPr>
          <w:rFonts w:ascii="Arial" w:cs="Arial" w:eastAsia="Arial" w:hAnsi="Arial"/>
          <w:sz w:val="16"/>
          <w:szCs w:val="16"/>
          <w:b w:val="1"/>
          <w:bCs w:val="1"/>
          <w:color w:val="auto"/>
        </w:rPr>
        <w:t>PSUs</w:t>
      </w:r>
    </w:p>
    <w:p>
      <w:pPr>
        <w:ind w:left="4160" w:hanging="165"/>
        <w:spacing w:after="0"/>
        <w:tabs>
          <w:tab w:leader="none" w:pos="4160" w:val="left"/>
        </w:tabs>
        <w:numPr>
          <w:ilvl w:val="0"/>
          <w:numId w:val="25"/>
        </w:numPr>
        <w:rPr>
          <w:rFonts w:ascii="Wingdings" w:cs="Wingdings" w:eastAsia="Wingdings" w:hAnsi="Wingdings"/>
          <w:sz w:val="17"/>
          <w:szCs w:val="17"/>
          <w:b w:val="1"/>
          <w:bCs w:val="1"/>
          <w:color w:val="F45270"/>
        </w:rPr>
      </w:pPr>
      <w:r>
        <w:rPr>
          <w:rFonts w:ascii="Arial" w:cs="Arial" w:eastAsia="Arial" w:hAnsi="Arial"/>
          <w:sz w:val="16"/>
          <w:szCs w:val="16"/>
          <w:b w:val="1"/>
          <w:bCs w:val="1"/>
          <w:color w:val="auto"/>
        </w:rPr>
        <w:t>Quarterly Performance Cash Bonus</w:t>
      </w:r>
    </w:p>
    <w:p>
      <w:pPr>
        <w:spacing w:after="0" w:line="200" w:lineRule="exact"/>
        <w:rPr>
          <w:sz w:val="20"/>
          <w:szCs w:val="20"/>
          <w:color w:val="auto"/>
        </w:rPr>
      </w:pP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charts above reflect 2023 annual base salaries, 2023 quarterly performance cash bonuses (at risk), time-based RSUs and PSUs (at risk), as reported in the Summary Compensation Table. The charts do not include “All Other Compensation,” as reported in the Summary Compensation Table, because such amounts were less than 1% for each NEO’s aggregate compensation for 2023. The charts above also do not include Mr. McNeil as he was no longer serving as an executive officer at the end of 2023.</w:t>
      </w:r>
    </w:p>
    <w:p>
      <w:pPr>
        <w:spacing w:after="0" w:line="132" w:lineRule="exact"/>
        <w:rPr>
          <w:sz w:val="20"/>
          <w:szCs w:val="20"/>
          <w:color w:val="auto"/>
        </w:rPr>
      </w:pPr>
    </w:p>
    <w:p>
      <w:pPr>
        <w:jc w:val="both"/>
        <w:ind w:left="320" w:hanging="159"/>
        <w:spacing w:after="0" w:line="300" w:lineRule="auto"/>
        <w:tabs>
          <w:tab w:leader="none" w:pos="297" w:val="left"/>
        </w:tabs>
        <w:numPr>
          <w:ilvl w:val="0"/>
          <w:numId w:val="26"/>
        </w:numPr>
        <w:rPr>
          <w:rFonts w:ascii="Arial" w:cs="Arial" w:eastAsia="Arial" w:hAnsi="Arial"/>
          <w:sz w:val="12"/>
          <w:szCs w:val="12"/>
          <w:color w:val="auto"/>
        </w:rPr>
      </w:pPr>
      <w:r>
        <w:rPr>
          <w:rFonts w:ascii="Arial" w:cs="Arial" w:eastAsia="Arial" w:hAnsi="Arial"/>
          <w:sz w:val="16"/>
          <w:szCs w:val="16"/>
          <w:b w:val="1"/>
          <w:bCs w:val="1"/>
          <w:color w:val="auto"/>
        </w:rPr>
        <w:t xml:space="preserve">67% of the equity awards were performance-based awards. </w:t>
      </w:r>
      <w:r>
        <w:rPr>
          <w:rFonts w:ascii="Arial" w:cs="Arial" w:eastAsia="Arial" w:hAnsi="Arial"/>
          <w:sz w:val="16"/>
          <w:szCs w:val="16"/>
          <w:color w:val="auto"/>
        </w:rPr>
        <w:t>In 2023, we awarded equity in the form of time-based RSUs and PSUs under our</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Shares Program (“PSP”) for 2023 (the “2023 PSP”), with each NEO receiving 67% of the aggregate target value of their equity awards in the form of PSUs and 33% of such value in the form of time-based RSUs. Equity awards were an integral part of our executive compensation program, and along with the rigorous goals set in our annual cash bonus program, comprised the primary “at-risk” portion of our NEOs’ compensation package.</w:t>
      </w:r>
    </w:p>
    <w:p>
      <w:pPr>
        <w:spacing w:after="0" w:line="112" w:lineRule="exact"/>
        <w:rPr>
          <w:rFonts w:ascii="Arial" w:cs="Arial" w:eastAsia="Arial" w:hAnsi="Arial"/>
          <w:sz w:val="12"/>
          <w:szCs w:val="12"/>
          <w:color w:val="auto"/>
        </w:rPr>
      </w:pPr>
    </w:p>
    <w:p>
      <w:pPr>
        <w:jc w:val="both"/>
        <w:ind w:left="940" w:hanging="308"/>
        <w:spacing w:after="0" w:line="300" w:lineRule="auto"/>
        <w:tabs>
          <w:tab w:leader="none" w:pos="943" w:val="left"/>
        </w:tabs>
        <w:numPr>
          <w:ilvl w:val="1"/>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We replaced the one-year PSU award based on individual goals with a three-year TSR PSU award. </w:t>
      </w:r>
      <w:r>
        <w:rPr>
          <w:rFonts w:ascii="Arial" w:cs="Arial" w:eastAsia="Arial" w:hAnsi="Arial"/>
          <w:sz w:val="16"/>
          <w:szCs w:val="16"/>
          <w:color w:val="auto"/>
        </w:rPr>
        <w:t>In response to investor feedback, we</w:t>
      </w:r>
      <w:r>
        <w:rPr>
          <w:rFonts w:ascii="Arial" w:cs="Arial" w:eastAsia="Arial" w:hAnsi="Arial"/>
          <w:sz w:val="16"/>
          <w:szCs w:val="16"/>
          <w:b w:val="1"/>
          <w:bCs w:val="1"/>
          <w:color w:val="auto"/>
        </w:rPr>
        <w:t xml:space="preserve"> </w:t>
      </w:r>
      <w:r>
        <w:rPr>
          <w:rFonts w:ascii="Arial" w:cs="Arial" w:eastAsia="Arial" w:hAnsi="Arial"/>
          <w:sz w:val="16"/>
          <w:szCs w:val="16"/>
          <w:color w:val="auto"/>
        </w:rPr>
        <w:t>eliminated the PSU award based on individual goals that was eligible to vest after one year and granted instead a three-year PSU award based on TSR relative to other companies in the S&amp;P 500 measured over the three fiscal year period from the start of 2023 through the end of 2025 (“Relative TSR”).</w:t>
      </w:r>
    </w:p>
    <w:p>
      <w:pPr>
        <w:spacing w:after="0" w:line="126" w:lineRule="exact"/>
        <w:rPr>
          <w:rFonts w:ascii="Arial" w:cs="Arial" w:eastAsia="Arial" w:hAnsi="Arial"/>
          <w:sz w:val="16"/>
          <w:szCs w:val="16"/>
          <w:color w:val="auto"/>
        </w:rPr>
      </w:pPr>
    </w:p>
    <w:p>
      <w:pPr>
        <w:jc w:val="both"/>
        <w:ind w:left="320" w:hanging="159"/>
        <w:spacing w:after="0" w:line="323" w:lineRule="auto"/>
        <w:tabs>
          <w:tab w:leader="none" w:pos="297" w:val="left"/>
        </w:tabs>
        <w:numPr>
          <w:ilvl w:val="0"/>
          <w:numId w:val="26"/>
        </w:numPr>
        <w:rPr>
          <w:rFonts w:ascii="Arial" w:cs="Arial" w:eastAsia="Arial" w:hAnsi="Arial"/>
          <w:sz w:val="12"/>
          <w:szCs w:val="12"/>
          <w:color w:val="auto"/>
        </w:rPr>
      </w:pPr>
      <w:r>
        <w:rPr>
          <w:rFonts w:ascii="Arial" w:cs="Arial" w:eastAsia="Arial" w:hAnsi="Arial"/>
          <w:sz w:val="15"/>
          <w:szCs w:val="15"/>
          <w:b w:val="1"/>
          <w:bCs w:val="1"/>
          <w:color w:val="auto"/>
        </w:rPr>
        <w:t>Cash bonuses were dependent on meeting rigorous corporate objectives</w:t>
      </w:r>
      <w:r>
        <w:rPr>
          <w:rFonts w:ascii="Arial" w:cs="Arial" w:eastAsia="Arial" w:hAnsi="Arial"/>
          <w:sz w:val="19"/>
          <w:szCs w:val="19"/>
          <w:b w:val="1"/>
          <w:b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Our quarterly performance-based bonus opportunities for all of our NEOs</w:t>
      </w:r>
      <w:r>
        <w:rPr>
          <w:rFonts w:ascii="Arial" w:cs="Arial" w:eastAsia="Arial" w:hAnsi="Arial"/>
          <w:sz w:val="15"/>
          <w:szCs w:val="15"/>
          <w:b w:val="1"/>
          <w:bCs w:val="1"/>
          <w:color w:val="auto"/>
        </w:rPr>
        <w:t xml:space="preserve"> </w:t>
      </w:r>
      <w:r>
        <w:rPr>
          <w:rFonts w:ascii="Arial" w:cs="Arial" w:eastAsia="Arial" w:hAnsi="Arial"/>
          <w:sz w:val="15"/>
          <w:szCs w:val="15"/>
          <w:color w:val="auto"/>
        </w:rPr>
        <w:t>were dependent upon achievement of quarterly corporate objectives and the performance of NEOs in meeting their own individual objectives, which were set to be aggressive and achievable, but only with significant effort. In 2023, under our bonus program (the “2023 Bonus Program”), our CEO received aggregate</w:t>
      </w:r>
    </w:p>
    <w:p>
      <w:pPr>
        <w:ind w:left="320"/>
        <w:spacing w:after="0" w:line="301" w:lineRule="auto"/>
        <w:rPr>
          <w:rFonts w:ascii="Arial" w:cs="Arial" w:eastAsia="Arial" w:hAnsi="Arial"/>
          <w:sz w:val="12"/>
          <w:szCs w:val="12"/>
          <w:color w:val="auto"/>
        </w:rPr>
      </w:pPr>
      <w:r>
        <w:rPr>
          <w:rFonts w:ascii="Arial" w:cs="Arial" w:eastAsia="Arial" w:hAnsi="Arial"/>
          <w:sz w:val="16"/>
          <w:szCs w:val="16"/>
          <w:color w:val="auto"/>
        </w:rPr>
        <w:t>payouts equal to 60% of his target annual payout, and our other NEOs received aggregate payouts ranging from 53% to 64% of their target annual payouts, as further detailed below under “2023 Executive Compensation Program - 2023 Quarterly Performance Cash Bonus Program.”</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4" w:name="page35"/>
    <w:bookmarkEnd w:id="34"/>
    <w:p>
      <w:pPr>
        <w:spacing w:after="0"/>
        <w:rPr>
          <w:sz w:val="20"/>
          <w:szCs w:val="20"/>
          <w:color w:val="auto"/>
        </w:rPr>
      </w:pPr>
      <w:r>
        <w:rPr>
          <w:rFonts w:ascii="Arial" w:cs="Arial" w:eastAsia="Arial" w:hAnsi="Arial"/>
          <w:sz w:val="21"/>
          <w:szCs w:val="21"/>
          <w:b w:val="1"/>
          <w:bCs w:val="1"/>
          <w:color w:val="auto"/>
        </w:rPr>
        <w:t>Compensation Philosophy and Objectives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aims to achieve the following main objectives:</w:t>
      </w:r>
    </w:p>
    <w:p>
      <w:pPr>
        <w:spacing w:after="0" w:line="195" w:lineRule="exact"/>
        <w:rPr>
          <w:sz w:val="20"/>
          <w:szCs w:val="20"/>
          <w:color w:val="auto"/>
        </w:rPr>
      </w:pPr>
    </w:p>
    <w:p>
      <w:pPr>
        <w:ind w:left="300" w:hanging="139"/>
        <w:spacing w:after="0"/>
        <w:tabs>
          <w:tab w:leader="none" w:pos="300" w:val="left"/>
        </w:tabs>
        <w:numPr>
          <w:ilvl w:val="0"/>
          <w:numId w:val="27"/>
        </w:numPr>
        <w:rPr>
          <w:rFonts w:ascii="Arial" w:cs="Arial" w:eastAsia="Arial" w:hAnsi="Arial"/>
          <w:sz w:val="12"/>
          <w:szCs w:val="12"/>
          <w:color w:val="auto"/>
        </w:rPr>
      </w:pPr>
      <w:r>
        <w:rPr>
          <w:rFonts w:ascii="Arial" w:cs="Arial" w:eastAsia="Arial" w:hAnsi="Arial"/>
          <w:sz w:val="16"/>
          <w:szCs w:val="16"/>
          <w:color w:val="auto"/>
        </w:rPr>
        <w:t>attract, retain and reward highly qualified employees, including executives;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27"/>
        </w:numPr>
        <w:rPr>
          <w:rFonts w:ascii="Arial" w:cs="Arial" w:eastAsia="Arial" w:hAnsi="Arial"/>
          <w:sz w:val="12"/>
          <w:szCs w:val="12"/>
          <w:color w:val="auto"/>
        </w:rPr>
      </w:pPr>
      <w:r>
        <w:rPr>
          <w:rFonts w:ascii="Arial" w:cs="Arial" w:eastAsia="Arial" w:hAnsi="Arial"/>
          <w:sz w:val="16"/>
          <w:szCs w:val="16"/>
          <w:color w:val="auto"/>
        </w:rPr>
        <w:t>provide incentives that motivate and reward for achievement of key performance goals that increase stockholder value over the long term;</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27"/>
        </w:numPr>
        <w:rPr>
          <w:rFonts w:ascii="Arial" w:cs="Arial" w:eastAsia="Arial" w:hAnsi="Arial"/>
          <w:sz w:val="12"/>
          <w:szCs w:val="12"/>
          <w:color w:val="auto"/>
        </w:rPr>
      </w:pPr>
      <w:r>
        <w:rPr>
          <w:rFonts w:ascii="Arial" w:cs="Arial" w:eastAsia="Arial" w:hAnsi="Arial"/>
          <w:sz w:val="16"/>
          <w:szCs w:val="16"/>
          <w:color w:val="auto"/>
        </w:rPr>
        <w:t>award performance for achieving targets based on a balanced scorecard;</w:t>
      </w:r>
    </w:p>
    <w:p>
      <w:pPr>
        <w:spacing w:after="0" w:line="77" w:lineRule="exact"/>
        <w:rPr>
          <w:rFonts w:ascii="Arial" w:cs="Arial" w:eastAsia="Arial" w:hAnsi="Arial"/>
          <w:sz w:val="12"/>
          <w:szCs w:val="12"/>
          <w:color w:val="auto"/>
        </w:rPr>
      </w:pPr>
    </w:p>
    <w:p>
      <w:pPr>
        <w:ind w:left="300" w:hanging="139"/>
        <w:spacing w:after="0"/>
        <w:tabs>
          <w:tab w:leader="none" w:pos="300" w:val="left"/>
        </w:tabs>
        <w:numPr>
          <w:ilvl w:val="0"/>
          <w:numId w:val="27"/>
        </w:numPr>
        <w:rPr>
          <w:rFonts w:ascii="Arial" w:cs="Arial" w:eastAsia="Arial" w:hAnsi="Arial"/>
          <w:sz w:val="12"/>
          <w:szCs w:val="12"/>
          <w:color w:val="auto"/>
        </w:rPr>
      </w:pPr>
      <w:r>
        <w:rPr>
          <w:rFonts w:ascii="Arial" w:cs="Arial" w:eastAsia="Arial" w:hAnsi="Arial"/>
          <w:sz w:val="16"/>
          <w:szCs w:val="16"/>
          <w:color w:val="auto"/>
        </w:rPr>
        <w:t>align our executives’ interests with those of our stockholders; and</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27"/>
        </w:numPr>
        <w:rPr>
          <w:rFonts w:ascii="Arial" w:cs="Arial" w:eastAsia="Arial" w:hAnsi="Arial"/>
          <w:sz w:val="12"/>
          <w:szCs w:val="12"/>
          <w:color w:val="auto"/>
        </w:rPr>
      </w:pPr>
      <w:r>
        <w:rPr>
          <w:rFonts w:ascii="Arial" w:cs="Arial" w:eastAsia="Arial" w:hAnsi="Arial"/>
          <w:sz w:val="16"/>
          <w:szCs w:val="16"/>
          <w:color w:val="auto"/>
        </w:rPr>
        <w:t>link pay to our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generally consists of the three principal components outlined in the table below.</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280" w:type="dxa"/>
            <w:vAlign w:val="bottom"/>
            <w:tcBorders>
              <w:left w:val="single" w:sz="8" w:color="3C3C3C"/>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Element of compensation</w:t>
            </w:r>
          </w:p>
        </w:tc>
        <w:tc>
          <w:tcPr>
            <w:tcW w:w="2680" w:type="dxa"/>
            <w:vAlign w:val="bottom"/>
            <w:tcBorders>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Objectives</w:t>
            </w:r>
          </w:p>
        </w:tc>
        <w:tc>
          <w:tcPr>
            <w:tcW w:w="6280" w:type="dxa"/>
            <w:vAlign w:val="bottom"/>
            <w:shd w:val="clear" w:color="auto" w:fill="3C3C3C"/>
          </w:tcPr>
          <w:p>
            <w:pPr>
              <w:ind w:left="100"/>
              <w:spacing w:after="0"/>
              <w:rPr>
                <w:sz w:val="20"/>
                <w:szCs w:val="20"/>
                <w:color w:val="auto"/>
              </w:rPr>
            </w:pPr>
            <w:r>
              <w:rPr>
                <w:rFonts w:ascii="Arial" w:cs="Arial" w:eastAsia="Arial" w:hAnsi="Arial"/>
                <w:sz w:val="14"/>
                <w:szCs w:val="14"/>
                <w:b w:val="1"/>
                <w:bCs w:val="1"/>
                <w:color w:val="FFFFFF"/>
              </w:rPr>
              <w:t>Key features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280" w:type="dxa"/>
            <w:vAlign w:val="bottom"/>
            <w:tcBorders>
              <w:left w:val="single" w:sz="8" w:color="3C3C3C"/>
              <w:right w:val="single" w:sz="8" w:color="3C3C3C"/>
            </w:tcBorders>
            <w:shd w:val="clear" w:color="auto" w:fill="3C3C3C"/>
          </w:tcPr>
          <w:p>
            <w:pPr>
              <w:spacing w:after="0"/>
              <w:rPr>
                <w:sz w:val="5"/>
                <w:szCs w:val="5"/>
                <w:color w:val="auto"/>
              </w:rPr>
            </w:pPr>
          </w:p>
        </w:tc>
        <w:tc>
          <w:tcPr>
            <w:tcW w:w="2680" w:type="dxa"/>
            <w:vAlign w:val="bottom"/>
            <w:tcBorders>
              <w:right w:val="single" w:sz="8" w:color="3C3C3C"/>
            </w:tcBorders>
            <w:shd w:val="clear" w:color="auto" w:fill="3C3C3C"/>
          </w:tcPr>
          <w:p>
            <w:pPr>
              <w:spacing w:after="0"/>
              <w:rPr>
                <w:sz w:val="5"/>
                <w:szCs w:val="5"/>
                <w:color w:val="auto"/>
              </w:rPr>
            </w:pPr>
          </w:p>
        </w:tc>
        <w:tc>
          <w:tcPr>
            <w:tcW w:w="6280" w:type="dxa"/>
            <w:vAlign w:val="bottom"/>
            <w:shd w:val="clear" w:color="auto" w:fill="3C3C3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22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Base Salary</w:t>
            </w:r>
          </w:p>
        </w:tc>
        <w:tc>
          <w:tcPr>
            <w:tcW w:w="2680" w:type="dxa"/>
            <w:vAlign w:val="bottom"/>
            <w:tcBorders>
              <w:right w:val="single" w:sz="8" w:color="7D7D7D"/>
            </w:tcBorders>
            <w:shd w:val="clear" w:color="auto" w:fill="FAF6EF"/>
          </w:tcPr>
          <w:p>
            <w:pPr>
              <w:ind w:left="80"/>
              <w:spacing w:after="0"/>
              <w:rPr>
                <w:sz w:val="20"/>
                <w:szCs w:val="20"/>
                <w:color w:val="auto"/>
              </w:rPr>
            </w:pPr>
            <w:r>
              <w:rPr>
                <w:rFonts w:ascii="Arial" w:cs="Arial" w:eastAsia="Arial" w:hAnsi="Arial"/>
                <w:sz w:val="16"/>
                <w:szCs w:val="16"/>
                <w:color w:val="auto"/>
              </w:rPr>
              <w:t>Provides financial stability and</w:t>
            </w:r>
          </w:p>
        </w:tc>
        <w:tc>
          <w:tcPr>
            <w:tcW w:w="6280" w:type="dxa"/>
            <w:vAlign w:val="bottom"/>
            <w:shd w:val="clear" w:color="auto" w:fill="FAF6EF"/>
          </w:tcPr>
          <w:p>
            <w:pPr>
              <w:ind w:left="100"/>
              <w:spacing w:after="0"/>
              <w:rPr>
                <w:sz w:val="20"/>
                <w:szCs w:val="20"/>
                <w:color w:val="auto"/>
              </w:rPr>
            </w:pPr>
            <w:r>
              <w:rPr>
                <w:rFonts w:ascii="Arial" w:cs="Arial" w:eastAsia="Arial" w:hAnsi="Arial"/>
                <w:sz w:val="16"/>
                <w:szCs w:val="16"/>
                <w:color w:val="auto"/>
              </w:rPr>
              <w:t>Fixed compensation that is periodically reviewed and adjusted based on a number of</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2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(fixed cash)</w:t>
            </w:r>
          </w:p>
        </w:tc>
        <w:tc>
          <w:tcPr>
            <w:tcW w:w="2680" w:type="dxa"/>
            <w:vAlign w:val="bottom"/>
            <w:tcBorders>
              <w:right w:val="single" w:sz="8" w:color="7D7D7D"/>
            </w:tcBorders>
            <w:shd w:val="clear" w:color="auto" w:fill="FAF6EF"/>
          </w:tcPr>
          <w:p>
            <w:pPr>
              <w:ind w:left="80"/>
              <w:spacing w:after="0"/>
              <w:rPr>
                <w:sz w:val="20"/>
                <w:szCs w:val="20"/>
                <w:color w:val="auto"/>
              </w:rPr>
            </w:pPr>
            <w:r>
              <w:rPr>
                <w:rFonts w:ascii="Arial" w:cs="Arial" w:eastAsia="Arial" w:hAnsi="Arial"/>
                <w:sz w:val="16"/>
                <w:szCs w:val="16"/>
                <w:color w:val="auto"/>
              </w:rPr>
              <w:t>security through a fixed amount of</w:t>
            </w:r>
          </w:p>
        </w:tc>
        <w:tc>
          <w:tcPr>
            <w:tcW w:w="6280" w:type="dxa"/>
            <w:vAlign w:val="bottom"/>
            <w:shd w:val="clear" w:color="auto" w:fill="FAF6EF"/>
          </w:tcPr>
          <w:p>
            <w:pPr>
              <w:ind w:left="100"/>
              <w:spacing w:after="0"/>
              <w:rPr>
                <w:sz w:val="20"/>
                <w:szCs w:val="20"/>
                <w:color w:val="auto"/>
              </w:rPr>
            </w:pPr>
            <w:r>
              <w:rPr>
                <w:rFonts w:ascii="Arial" w:cs="Arial" w:eastAsia="Arial" w:hAnsi="Arial"/>
                <w:sz w:val="16"/>
                <w:szCs w:val="16"/>
                <w:color w:val="auto"/>
                <w:w w:val="99"/>
              </w:rPr>
              <w:t>factors, including individual performance, our overall company performance and market</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7D7D7D"/>
              <w:right w:val="single" w:sz="8" w:color="7D7D7D"/>
            </w:tcBorders>
            <w:shd w:val="clear" w:color="auto" w:fill="FAF6EF"/>
          </w:tcPr>
          <w:p>
            <w:pPr>
              <w:spacing w:after="0"/>
              <w:rPr>
                <w:sz w:val="18"/>
                <w:szCs w:val="18"/>
                <w:color w:val="auto"/>
              </w:rPr>
            </w:pPr>
          </w:p>
        </w:tc>
        <w:tc>
          <w:tcPr>
            <w:tcW w:w="2680" w:type="dxa"/>
            <w:vAlign w:val="bottom"/>
            <w:tcBorders>
              <w:right w:val="single" w:sz="8" w:color="7D7D7D"/>
            </w:tcBorders>
            <w:shd w:val="clear" w:color="auto" w:fill="FAF6EF"/>
          </w:tcPr>
          <w:p>
            <w:pPr>
              <w:ind w:left="80"/>
              <w:spacing w:after="0"/>
              <w:rPr>
                <w:sz w:val="20"/>
                <w:szCs w:val="20"/>
                <w:color w:val="auto"/>
              </w:rPr>
            </w:pPr>
            <w:r>
              <w:rPr>
                <w:rFonts w:ascii="Arial" w:cs="Arial" w:eastAsia="Arial" w:hAnsi="Arial"/>
                <w:sz w:val="16"/>
                <w:szCs w:val="16"/>
                <w:color w:val="auto"/>
                <w:w w:val="98"/>
              </w:rPr>
              <w:t>cash to attract and retain executives.</w:t>
            </w:r>
          </w:p>
        </w:tc>
        <w:tc>
          <w:tcPr>
            <w:tcW w:w="6280" w:type="dxa"/>
            <w:vAlign w:val="bottom"/>
            <w:shd w:val="clear" w:color="auto" w:fill="FAF6EF"/>
          </w:tcPr>
          <w:p>
            <w:pPr>
              <w:ind w:left="100"/>
              <w:spacing w:after="0"/>
              <w:rPr>
                <w:sz w:val="20"/>
                <w:szCs w:val="20"/>
                <w:color w:val="auto"/>
              </w:rPr>
            </w:pPr>
            <w:r>
              <w:rPr>
                <w:rFonts w:ascii="Arial" w:cs="Arial" w:eastAsia="Arial" w:hAnsi="Arial"/>
                <w:sz w:val="16"/>
                <w:szCs w:val="16"/>
                <w:color w:val="auto"/>
              </w:rPr>
              <w:t>data.</w:t>
            </w:r>
          </w:p>
        </w:tc>
        <w:tc>
          <w:tcPr>
            <w:tcW w:w="20" w:type="dxa"/>
            <w:vAlign w:val="bottom"/>
            <w:shd w:val="clear" w:color="auto" w:fill="7D7D7D"/>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280" w:type="dxa"/>
            <w:vAlign w:val="bottom"/>
            <w:tcBorders>
              <w:left w:val="single" w:sz="8" w:color="7D7D7D"/>
              <w:right w:val="single" w:sz="8" w:color="7D7D7D"/>
            </w:tcBorders>
            <w:shd w:val="clear" w:color="auto" w:fill="FAF6EF"/>
          </w:tcPr>
          <w:p>
            <w:pPr>
              <w:spacing w:after="0"/>
              <w:rPr>
                <w:sz w:val="16"/>
                <w:szCs w:val="16"/>
                <w:color w:val="auto"/>
              </w:rPr>
            </w:pPr>
          </w:p>
        </w:tc>
        <w:tc>
          <w:tcPr>
            <w:tcW w:w="2680" w:type="dxa"/>
            <w:vAlign w:val="bottom"/>
            <w:tcBorders>
              <w:right w:val="single" w:sz="8" w:color="7D7D7D"/>
            </w:tcBorders>
            <w:shd w:val="clear" w:color="auto" w:fill="FAF6EF"/>
          </w:tcPr>
          <w:p>
            <w:pPr>
              <w:spacing w:after="0"/>
              <w:rPr>
                <w:sz w:val="16"/>
                <w:szCs w:val="16"/>
                <w:color w:val="auto"/>
              </w:rPr>
            </w:pPr>
          </w:p>
        </w:tc>
        <w:tc>
          <w:tcPr>
            <w:tcW w:w="6280" w:type="dxa"/>
            <w:vAlign w:val="bottom"/>
            <w:shd w:val="clear" w:color="auto" w:fill="FAF6EF"/>
          </w:tcPr>
          <w:p>
            <w:pPr>
              <w:spacing w:after="0"/>
              <w:rPr>
                <w:sz w:val="16"/>
                <w:szCs w:val="16"/>
                <w:color w:val="auto"/>
              </w:rPr>
            </w:pPr>
          </w:p>
        </w:tc>
        <w:tc>
          <w:tcPr>
            <w:tcW w:w="20" w:type="dxa"/>
            <w:vAlign w:val="bottom"/>
            <w:shd w:val="clear" w:color="auto" w:fill="7D7D7D"/>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228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Quarterly Performance</w:t>
            </w:r>
          </w:p>
        </w:tc>
        <w:tc>
          <w:tcPr>
            <w:tcW w:w="2680" w:type="dxa"/>
            <w:vAlign w:val="bottom"/>
            <w:tcBorders>
              <w:right w:val="single" w:sz="8" w:color="7D7D7D"/>
            </w:tcBorders>
          </w:tcPr>
          <w:p>
            <w:pPr>
              <w:ind w:left="80"/>
              <w:spacing w:after="0"/>
              <w:rPr>
                <w:sz w:val="20"/>
                <w:szCs w:val="20"/>
                <w:color w:val="auto"/>
              </w:rPr>
            </w:pPr>
            <w:r>
              <w:rPr>
                <w:rFonts w:ascii="Arial" w:cs="Arial" w:eastAsia="Arial" w:hAnsi="Arial"/>
                <w:sz w:val="16"/>
                <w:szCs w:val="16"/>
                <w:color w:val="auto"/>
              </w:rPr>
              <w:t>Motivates and rewards through</w:t>
            </w:r>
          </w:p>
        </w:tc>
        <w:tc>
          <w:tcPr>
            <w:tcW w:w="6280" w:type="dxa"/>
            <w:vAlign w:val="bottom"/>
          </w:tcPr>
          <w:p>
            <w:pPr>
              <w:ind w:left="100"/>
              <w:spacing w:after="0"/>
              <w:rPr>
                <w:sz w:val="20"/>
                <w:szCs w:val="20"/>
                <w:color w:val="auto"/>
              </w:rPr>
            </w:pPr>
            <w:r>
              <w:rPr>
                <w:rFonts w:ascii="Arial" w:cs="Arial" w:eastAsia="Arial" w:hAnsi="Arial"/>
                <w:sz w:val="16"/>
                <w:szCs w:val="16"/>
                <w:color w:val="auto"/>
              </w:rPr>
              <w:t>Target bonus amounts, calculated as a percentage of base salary, are periodically</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28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Cash Bonus (at-risk cash)</w:t>
            </w:r>
          </w:p>
        </w:tc>
        <w:tc>
          <w:tcPr>
            <w:tcW w:w="2680" w:type="dxa"/>
            <w:vAlign w:val="bottom"/>
            <w:tcBorders>
              <w:right w:val="single" w:sz="8" w:color="7D7D7D"/>
            </w:tcBorders>
          </w:tcPr>
          <w:p>
            <w:pPr>
              <w:ind w:left="80"/>
              <w:spacing w:after="0"/>
              <w:rPr>
                <w:sz w:val="20"/>
                <w:szCs w:val="20"/>
                <w:color w:val="auto"/>
              </w:rPr>
            </w:pPr>
            <w:r>
              <w:rPr>
                <w:rFonts w:ascii="Arial" w:cs="Arial" w:eastAsia="Arial" w:hAnsi="Arial"/>
                <w:sz w:val="16"/>
                <w:szCs w:val="16"/>
                <w:color w:val="auto"/>
              </w:rPr>
              <w:t>quarterly payments for attaining key</w:t>
            </w:r>
          </w:p>
        </w:tc>
        <w:tc>
          <w:tcPr>
            <w:tcW w:w="6280" w:type="dxa"/>
            <w:vAlign w:val="bottom"/>
          </w:tcPr>
          <w:p>
            <w:pPr>
              <w:ind w:left="100"/>
              <w:spacing w:after="0"/>
              <w:rPr>
                <w:sz w:val="20"/>
                <w:szCs w:val="20"/>
                <w:color w:val="auto"/>
              </w:rPr>
            </w:pPr>
            <w:r>
              <w:rPr>
                <w:rFonts w:ascii="Arial" w:cs="Arial" w:eastAsia="Arial" w:hAnsi="Arial"/>
                <w:sz w:val="16"/>
                <w:szCs w:val="16"/>
                <w:color w:val="auto"/>
                <w:w w:val="98"/>
              </w:rPr>
              <w:t>reviewed and determined based upon competitive bonus opportunities in our market. We</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7D7D7D"/>
              <w:right w:val="single" w:sz="8" w:color="7D7D7D"/>
            </w:tcBorders>
          </w:tcPr>
          <w:p>
            <w:pPr>
              <w:spacing w:after="0"/>
              <w:rPr>
                <w:sz w:val="18"/>
                <w:szCs w:val="18"/>
                <w:color w:val="auto"/>
              </w:rPr>
            </w:pPr>
          </w:p>
        </w:tc>
        <w:tc>
          <w:tcPr>
            <w:tcW w:w="2680" w:type="dxa"/>
            <w:vAlign w:val="bottom"/>
            <w:tcBorders>
              <w:right w:val="single" w:sz="8" w:color="7D7D7D"/>
            </w:tcBorders>
          </w:tcPr>
          <w:p>
            <w:pPr>
              <w:ind w:left="80"/>
              <w:spacing w:after="0"/>
              <w:rPr>
                <w:sz w:val="20"/>
                <w:szCs w:val="20"/>
                <w:color w:val="auto"/>
              </w:rPr>
            </w:pPr>
            <w:r>
              <w:rPr>
                <w:rFonts w:ascii="Arial" w:cs="Arial" w:eastAsia="Arial" w:hAnsi="Arial"/>
                <w:sz w:val="16"/>
                <w:szCs w:val="16"/>
                <w:color w:val="auto"/>
              </w:rPr>
              <w:t>corporate and individual</w:t>
            </w:r>
          </w:p>
        </w:tc>
        <w:tc>
          <w:tcPr>
            <w:tcW w:w="6280" w:type="dxa"/>
            <w:vAlign w:val="bottom"/>
          </w:tcPr>
          <w:p>
            <w:pPr>
              <w:ind w:left="100"/>
              <w:spacing w:after="0"/>
              <w:rPr>
                <w:sz w:val="20"/>
                <w:szCs w:val="20"/>
                <w:color w:val="auto"/>
              </w:rPr>
            </w:pPr>
            <w:r>
              <w:rPr>
                <w:rFonts w:ascii="Arial" w:cs="Arial" w:eastAsia="Arial" w:hAnsi="Arial"/>
                <w:sz w:val="16"/>
                <w:szCs w:val="16"/>
                <w:color w:val="auto"/>
              </w:rPr>
              <w:t>award the annual bonus on a quarterly basis to incentivize and reward quarterly results</w:t>
            </w:r>
          </w:p>
        </w:tc>
        <w:tc>
          <w:tcPr>
            <w:tcW w:w="20" w:type="dxa"/>
            <w:vAlign w:val="bottom"/>
            <w:shd w:val="clear" w:color="auto" w:fill="7D7D7D"/>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80" w:type="dxa"/>
            <w:vAlign w:val="bottom"/>
            <w:tcBorders>
              <w:left w:val="single" w:sz="8" w:color="7D7D7D"/>
              <w:right w:val="single" w:sz="8" w:color="7D7D7D"/>
            </w:tcBorders>
          </w:tcPr>
          <w:p>
            <w:pPr>
              <w:spacing w:after="0"/>
              <w:rPr>
                <w:sz w:val="19"/>
                <w:szCs w:val="19"/>
                <w:color w:val="auto"/>
              </w:rPr>
            </w:pPr>
          </w:p>
        </w:tc>
        <w:tc>
          <w:tcPr>
            <w:tcW w:w="2680" w:type="dxa"/>
            <w:vAlign w:val="bottom"/>
            <w:tcBorders>
              <w:right w:val="single" w:sz="8" w:color="7D7D7D"/>
            </w:tcBorders>
          </w:tcPr>
          <w:p>
            <w:pPr>
              <w:ind w:left="80"/>
              <w:spacing w:after="0"/>
              <w:rPr>
                <w:sz w:val="20"/>
                <w:szCs w:val="20"/>
                <w:color w:val="auto"/>
              </w:rPr>
            </w:pPr>
            <w:r>
              <w:rPr>
                <w:rFonts w:ascii="Arial" w:cs="Arial" w:eastAsia="Arial" w:hAnsi="Arial"/>
                <w:sz w:val="16"/>
                <w:szCs w:val="16"/>
                <w:color w:val="auto"/>
              </w:rPr>
              <w:t>performance goals linked to our key</w:t>
            </w:r>
          </w:p>
        </w:tc>
        <w:tc>
          <w:tcPr>
            <w:tcW w:w="6280" w:type="dxa"/>
            <w:vAlign w:val="bottom"/>
          </w:tcPr>
          <w:p>
            <w:pPr>
              <w:ind w:left="100"/>
              <w:spacing w:after="0"/>
              <w:rPr>
                <w:sz w:val="20"/>
                <w:szCs w:val="20"/>
                <w:color w:val="auto"/>
              </w:rPr>
            </w:pPr>
            <w:r>
              <w:rPr>
                <w:rFonts w:ascii="Arial" w:cs="Arial" w:eastAsia="Arial" w:hAnsi="Arial"/>
                <w:sz w:val="16"/>
                <w:szCs w:val="16"/>
                <w:color w:val="auto"/>
                <w:w w:val="98"/>
              </w:rPr>
              <w:t>that help achieve our long-term strategic goals. Bonus awards are dependent upon three</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80" w:type="dxa"/>
            <w:vAlign w:val="bottom"/>
            <w:tcBorders>
              <w:left w:val="single" w:sz="8" w:color="7D7D7D"/>
              <w:right w:val="single" w:sz="8" w:color="7D7D7D"/>
            </w:tcBorders>
          </w:tcPr>
          <w:p>
            <w:pPr>
              <w:spacing w:after="0"/>
              <w:rPr>
                <w:sz w:val="19"/>
                <w:szCs w:val="19"/>
                <w:color w:val="auto"/>
              </w:rPr>
            </w:pPr>
          </w:p>
        </w:tc>
        <w:tc>
          <w:tcPr>
            <w:tcW w:w="2680" w:type="dxa"/>
            <w:vAlign w:val="bottom"/>
            <w:tcBorders>
              <w:right w:val="single" w:sz="8" w:color="7D7D7D"/>
            </w:tcBorders>
          </w:tcPr>
          <w:p>
            <w:pPr>
              <w:ind w:left="80"/>
              <w:spacing w:after="0"/>
              <w:rPr>
                <w:sz w:val="20"/>
                <w:szCs w:val="20"/>
                <w:color w:val="auto"/>
              </w:rPr>
            </w:pPr>
            <w:r>
              <w:rPr>
                <w:rFonts w:ascii="Arial" w:cs="Arial" w:eastAsia="Arial" w:hAnsi="Arial"/>
                <w:sz w:val="16"/>
                <w:szCs w:val="16"/>
                <w:color w:val="auto"/>
              </w:rPr>
              <w:t>business objectives.</w:t>
            </w:r>
          </w:p>
        </w:tc>
        <w:tc>
          <w:tcPr>
            <w:tcW w:w="6280" w:type="dxa"/>
            <w:vAlign w:val="bottom"/>
          </w:tcPr>
          <w:p>
            <w:pPr>
              <w:ind w:left="100"/>
              <w:spacing w:after="0"/>
              <w:rPr>
                <w:sz w:val="20"/>
                <w:szCs w:val="20"/>
                <w:color w:val="auto"/>
              </w:rPr>
            </w:pPr>
            <w:r>
              <w:rPr>
                <w:rFonts w:ascii="Arial" w:cs="Arial" w:eastAsia="Arial" w:hAnsi="Arial"/>
                <w:sz w:val="16"/>
                <w:szCs w:val="16"/>
                <w:color w:val="auto"/>
              </w:rPr>
              <w:t>components:</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80" w:type="dxa"/>
            <w:vAlign w:val="bottom"/>
            <w:tcBorders>
              <w:left w:val="single" w:sz="8" w:color="7D7D7D"/>
              <w:right w:val="single" w:sz="8" w:color="7D7D7D"/>
            </w:tcBorders>
          </w:tcPr>
          <w:p>
            <w:pPr>
              <w:spacing w:after="0"/>
              <w:rPr>
                <w:sz w:val="19"/>
                <w:szCs w:val="19"/>
                <w:color w:val="auto"/>
              </w:rPr>
            </w:pPr>
          </w:p>
        </w:tc>
        <w:tc>
          <w:tcPr>
            <w:tcW w:w="2680" w:type="dxa"/>
            <w:vAlign w:val="bottom"/>
            <w:tcBorders>
              <w:right w:val="single" w:sz="8" w:color="7D7D7D"/>
            </w:tcBorders>
          </w:tcPr>
          <w:p>
            <w:pPr>
              <w:spacing w:after="0"/>
              <w:rPr>
                <w:sz w:val="19"/>
                <w:szCs w:val="19"/>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(i) company performance objectives,</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80" w:type="dxa"/>
            <w:vAlign w:val="bottom"/>
            <w:tcBorders>
              <w:left w:val="single" w:sz="8" w:color="7D7D7D"/>
              <w:right w:val="single" w:sz="8" w:color="7D7D7D"/>
            </w:tcBorders>
          </w:tcPr>
          <w:p>
            <w:pPr>
              <w:spacing w:after="0"/>
              <w:rPr>
                <w:sz w:val="19"/>
                <w:szCs w:val="19"/>
                <w:color w:val="auto"/>
              </w:rPr>
            </w:pPr>
          </w:p>
        </w:tc>
        <w:tc>
          <w:tcPr>
            <w:tcW w:w="2680" w:type="dxa"/>
            <w:vAlign w:val="bottom"/>
            <w:tcBorders>
              <w:right w:val="single" w:sz="8" w:color="7D7D7D"/>
            </w:tcBorders>
          </w:tcPr>
          <w:p>
            <w:pPr>
              <w:spacing w:after="0"/>
              <w:rPr>
                <w:sz w:val="19"/>
                <w:szCs w:val="19"/>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(ii) company funding factor, and</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7D7D7D"/>
              <w:right w:val="single" w:sz="8" w:color="7D7D7D"/>
            </w:tcBorders>
          </w:tcPr>
          <w:p>
            <w:pPr>
              <w:spacing w:after="0"/>
              <w:rPr>
                <w:sz w:val="18"/>
                <w:szCs w:val="18"/>
                <w:color w:val="auto"/>
              </w:rPr>
            </w:pPr>
          </w:p>
        </w:tc>
        <w:tc>
          <w:tcPr>
            <w:tcW w:w="2680" w:type="dxa"/>
            <w:vAlign w:val="bottom"/>
            <w:tcBorders>
              <w:right w:val="single" w:sz="8" w:color="7D7D7D"/>
            </w:tcBorders>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(iii) individual performance objectives.</w:t>
            </w:r>
          </w:p>
        </w:tc>
        <w:tc>
          <w:tcPr>
            <w:tcW w:w="20" w:type="dxa"/>
            <w:vAlign w:val="bottom"/>
            <w:shd w:val="clear" w:color="auto" w:fill="7D7D7D"/>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80" w:type="dxa"/>
            <w:vAlign w:val="bottom"/>
            <w:tcBorders>
              <w:left w:val="single" w:sz="8" w:color="7D7D7D"/>
              <w:right w:val="single" w:sz="8" w:color="7D7D7D"/>
            </w:tcBorders>
          </w:tcPr>
          <w:p>
            <w:pPr>
              <w:spacing w:after="0"/>
              <w:rPr>
                <w:sz w:val="19"/>
                <w:szCs w:val="19"/>
                <w:color w:val="auto"/>
              </w:rPr>
            </w:pPr>
          </w:p>
        </w:tc>
        <w:tc>
          <w:tcPr>
            <w:tcW w:w="2680" w:type="dxa"/>
            <w:vAlign w:val="bottom"/>
            <w:tcBorders>
              <w:right w:val="single" w:sz="8" w:color="7D7D7D"/>
            </w:tcBorders>
          </w:tcPr>
          <w:p>
            <w:pPr>
              <w:spacing w:after="0"/>
              <w:rPr>
                <w:sz w:val="19"/>
                <w:szCs w:val="19"/>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w w:val="99"/>
              </w:rPr>
              <w:t>The Compensation Committee determines the bonus amount achieved each quarter as</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80" w:type="dxa"/>
            <w:vAlign w:val="bottom"/>
            <w:tcBorders>
              <w:left w:val="single" w:sz="8" w:color="7D7D7D"/>
              <w:right w:val="single" w:sz="8" w:color="7D7D7D"/>
            </w:tcBorders>
          </w:tcPr>
          <w:p>
            <w:pPr>
              <w:spacing w:after="0"/>
              <w:rPr>
                <w:sz w:val="19"/>
                <w:szCs w:val="19"/>
                <w:color w:val="auto"/>
              </w:rPr>
            </w:pPr>
          </w:p>
        </w:tc>
        <w:tc>
          <w:tcPr>
            <w:tcW w:w="2680" w:type="dxa"/>
            <w:vAlign w:val="bottom"/>
            <w:tcBorders>
              <w:right w:val="single" w:sz="8" w:color="7D7D7D"/>
            </w:tcBorders>
          </w:tcPr>
          <w:p>
            <w:pPr>
              <w:spacing w:after="0"/>
              <w:rPr>
                <w:sz w:val="19"/>
                <w:szCs w:val="19"/>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further described below.</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280" w:type="dxa"/>
            <w:vAlign w:val="bottom"/>
            <w:tcBorders>
              <w:left w:val="single" w:sz="8" w:color="7D7D7D"/>
              <w:right w:val="single" w:sz="8" w:color="7D7D7D"/>
            </w:tcBorders>
          </w:tcPr>
          <w:p>
            <w:pPr>
              <w:spacing w:after="0"/>
              <w:rPr>
                <w:sz w:val="16"/>
                <w:szCs w:val="16"/>
                <w:color w:val="auto"/>
              </w:rPr>
            </w:pPr>
          </w:p>
        </w:tc>
        <w:tc>
          <w:tcPr>
            <w:tcW w:w="2680" w:type="dxa"/>
            <w:vAlign w:val="bottom"/>
            <w:tcBorders>
              <w:right w:val="single" w:sz="8" w:color="7D7D7D"/>
            </w:tcBorders>
          </w:tcPr>
          <w:p>
            <w:pPr>
              <w:spacing w:after="0"/>
              <w:rPr>
                <w:sz w:val="16"/>
                <w:szCs w:val="16"/>
                <w:color w:val="auto"/>
              </w:rPr>
            </w:pPr>
          </w:p>
        </w:tc>
        <w:tc>
          <w:tcPr>
            <w:tcW w:w="6280" w:type="dxa"/>
            <w:vAlign w:val="bottom"/>
          </w:tcPr>
          <w:p>
            <w:pPr>
              <w:spacing w:after="0"/>
              <w:rPr>
                <w:sz w:val="16"/>
                <w:szCs w:val="16"/>
                <w:color w:val="auto"/>
              </w:rPr>
            </w:pPr>
          </w:p>
        </w:tc>
        <w:tc>
          <w:tcPr>
            <w:tcW w:w="20" w:type="dxa"/>
            <w:vAlign w:val="bottom"/>
            <w:shd w:val="clear" w:color="auto" w:fill="7D7D7D"/>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22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Long-Term Incentives (67%</w:t>
            </w:r>
          </w:p>
        </w:tc>
        <w:tc>
          <w:tcPr>
            <w:tcW w:w="2680" w:type="dxa"/>
            <w:vAlign w:val="bottom"/>
            <w:tcBorders>
              <w:right w:val="single" w:sz="8" w:color="7D7D7D"/>
            </w:tcBorders>
            <w:shd w:val="clear" w:color="auto" w:fill="FAF6EF"/>
          </w:tcPr>
          <w:p>
            <w:pPr>
              <w:ind w:left="80"/>
              <w:spacing w:after="0"/>
              <w:rPr>
                <w:sz w:val="20"/>
                <w:szCs w:val="20"/>
                <w:color w:val="auto"/>
              </w:rPr>
            </w:pPr>
            <w:r>
              <w:rPr>
                <w:rFonts w:ascii="Arial" w:cs="Arial" w:eastAsia="Arial" w:hAnsi="Arial"/>
                <w:sz w:val="16"/>
                <w:szCs w:val="16"/>
                <w:color w:val="auto"/>
              </w:rPr>
              <w:t>Motivates and rewards for our</w:t>
            </w:r>
          </w:p>
        </w:tc>
        <w:tc>
          <w:tcPr>
            <w:tcW w:w="6280" w:type="dxa"/>
            <w:vAlign w:val="bottom"/>
            <w:shd w:val="clear" w:color="auto" w:fill="FAF6EF"/>
          </w:tcPr>
          <w:p>
            <w:pPr>
              <w:ind w:left="100"/>
              <w:spacing w:after="0"/>
              <w:rPr>
                <w:sz w:val="20"/>
                <w:szCs w:val="20"/>
                <w:color w:val="auto"/>
              </w:rPr>
            </w:pPr>
            <w:r>
              <w:rPr>
                <w:rFonts w:ascii="Arial" w:cs="Arial" w:eastAsia="Arial" w:hAnsi="Arial"/>
                <w:sz w:val="16"/>
                <w:szCs w:val="16"/>
                <w:color w:val="auto"/>
              </w:rPr>
              <w:t>Variable equity-based compensation, including:</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PSUs (at-risk equity) and</w:t>
            </w:r>
          </w:p>
        </w:tc>
        <w:tc>
          <w:tcPr>
            <w:tcW w:w="2680" w:type="dxa"/>
            <w:vAlign w:val="bottom"/>
            <w:tcBorders>
              <w:right w:val="single" w:sz="8" w:color="7D7D7D"/>
            </w:tcBorders>
            <w:shd w:val="clear" w:color="auto" w:fill="FAF6EF"/>
          </w:tcPr>
          <w:p>
            <w:pPr>
              <w:ind w:left="80"/>
              <w:spacing w:after="0"/>
              <w:rPr>
                <w:sz w:val="20"/>
                <w:szCs w:val="20"/>
                <w:color w:val="auto"/>
              </w:rPr>
            </w:pPr>
            <w:r>
              <w:rPr>
                <w:rFonts w:ascii="Arial" w:cs="Arial" w:eastAsia="Arial" w:hAnsi="Arial"/>
                <w:sz w:val="16"/>
                <w:szCs w:val="16"/>
                <w:color w:val="auto"/>
              </w:rPr>
              <w:t>longer-term performance; aligns</w:t>
            </w:r>
          </w:p>
        </w:tc>
        <w:tc>
          <w:tcPr>
            <w:tcW w:w="6280" w:type="dxa"/>
            <w:vAlign w:val="bottom"/>
            <w:shd w:val="clear" w:color="auto" w:fill="FAF6EF"/>
          </w:tcPr>
          <w:p>
            <w:pPr>
              <w:ind w:left="100"/>
              <w:spacing w:after="0"/>
              <w:rPr>
                <w:sz w:val="20"/>
                <w:szCs w:val="20"/>
                <w:color w:val="auto"/>
              </w:rPr>
            </w:pPr>
            <w:r>
              <w:rPr>
                <w:rFonts w:ascii="Arial" w:cs="Arial" w:eastAsia="Arial" w:hAnsi="Arial"/>
                <w:sz w:val="16"/>
                <w:szCs w:val="16"/>
                <w:color w:val="auto"/>
              </w:rPr>
              <w:t>(i) PSU awards that vest based on achievement of specified corporate goals measured</w:t>
            </w:r>
          </w:p>
        </w:tc>
        <w:tc>
          <w:tcPr>
            <w:tcW w:w="20" w:type="dxa"/>
            <w:vAlign w:val="bottom"/>
            <w:shd w:val="clear" w:color="auto" w:fill="7D7D7D"/>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33% RSUs)</w:t>
            </w:r>
          </w:p>
        </w:tc>
        <w:tc>
          <w:tcPr>
            <w:tcW w:w="2680" w:type="dxa"/>
            <w:vAlign w:val="bottom"/>
            <w:tcBorders>
              <w:right w:val="single" w:sz="8" w:color="7D7D7D"/>
            </w:tcBorders>
            <w:vMerge w:val="restart"/>
            <w:shd w:val="clear" w:color="auto" w:fill="FAF6EF"/>
          </w:tcPr>
          <w:p>
            <w:pPr>
              <w:ind w:left="80"/>
              <w:spacing w:after="0"/>
              <w:rPr>
                <w:sz w:val="20"/>
                <w:szCs w:val="20"/>
                <w:color w:val="auto"/>
              </w:rPr>
            </w:pPr>
            <w:r>
              <w:rPr>
                <w:rFonts w:ascii="Arial" w:cs="Arial" w:eastAsia="Arial" w:hAnsi="Arial"/>
                <w:sz w:val="16"/>
                <w:szCs w:val="16"/>
                <w:color w:val="auto"/>
              </w:rPr>
              <w:t>executives’ interests with</w:t>
            </w:r>
          </w:p>
        </w:tc>
        <w:tc>
          <w:tcPr>
            <w:tcW w:w="6280" w:type="dxa"/>
            <w:vAlign w:val="bottom"/>
            <w:vMerge w:val="restart"/>
            <w:shd w:val="clear" w:color="auto" w:fill="FAF6EF"/>
          </w:tcPr>
          <w:p>
            <w:pPr>
              <w:ind w:left="100"/>
              <w:spacing w:after="0"/>
              <w:rPr>
                <w:sz w:val="20"/>
                <w:szCs w:val="20"/>
                <w:color w:val="auto"/>
              </w:rPr>
            </w:pPr>
            <w:r>
              <w:rPr>
                <w:rFonts w:ascii="Arial" w:cs="Arial" w:eastAsia="Arial" w:hAnsi="Arial"/>
                <w:sz w:val="16"/>
                <w:szCs w:val="16"/>
                <w:color w:val="auto"/>
              </w:rPr>
              <w:t>over a one-year period (33%),</w:t>
            </w:r>
          </w:p>
        </w:tc>
        <w:tc>
          <w:tcPr>
            <w:tcW w:w="20" w:type="dxa"/>
            <w:vAlign w:val="bottom"/>
            <w:shd w:val="clear" w:color="auto" w:fill="7D7D7D"/>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280" w:type="dxa"/>
            <w:vAlign w:val="bottom"/>
            <w:tcBorders>
              <w:left w:val="single" w:sz="8" w:color="7D7D7D"/>
              <w:right w:val="single" w:sz="8" w:color="7D7D7D"/>
            </w:tcBorders>
            <w:shd w:val="clear" w:color="auto" w:fill="FAF6EF"/>
          </w:tcPr>
          <w:p>
            <w:pPr>
              <w:spacing w:after="0"/>
              <w:rPr>
                <w:sz w:val="4"/>
                <w:szCs w:val="4"/>
                <w:color w:val="auto"/>
              </w:rPr>
            </w:pPr>
          </w:p>
        </w:tc>
        <w:tc>
          <w:tcPr>
            <w:tcW w:w="2680" w:type="dxa"/>
            <w:vAlign w:val="bottom"/>
            <w:tcBorders>
              <w:right w:val="single" w:sz="8" w:color="7D7D7D"/>
            </w:tcBorders>
            <w:vMerge w:val="continue"/>
            <w:shd w:val="clear" w:color="auto" w:fill="FAF6EF"/>
          </w:tcPr>
          <w:p>
            <w:pPr>
              <w:spacing w:after="0"/>
              <w:rPr>
                <w:sz w:val="4"/>
                <w:szCs w:val="4"/>
                <w:color w:val="auto"/>
              </w:rPr>
            </w:pPr>
          </w:p>
        </w:tc>
        <w:tc>
          <w:tcPr>
            <w:tcW w:w="6280" w:type="dxa"/>
            <w:vAlign w:val="bottom"/>
            <w:vMerge w:val="continue"/>
            <w:shd w:val="clear" w:color="auto" w:fill="FAF6EF"/>
          </w:tcPr>
          <w:p>
            <w:pPr>
              <w:spacing w:after="0"/>
              <w:rPr>
                <w:sz w:val="4"/>
                <w:szCs w:val="4"/>
                <w:color w:val="auto"/>
              </w:rPr>
            </w:pPr>
          </w:p>
        </w:tc>
        <w:tc>
          <w:tcPr>
            <w:tcW w:w="20" w:type="dxa"/>
            <w:vAlign w:val="bottom"/>
            <w:shd w:val="clear" w:color="auto" w:fill="7D7D7D"/>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280" w:type="dxa"/>
            <w:vAlign w:val="bottom"/>
            <w:tcBorders>
              <w:left w:val="single" w:sz="8" w:color="7D7D7D"/>
              <w:right w:val="single" w:sz="8" w:color="7D7D7D"/>
            </w:tcBorders>
            <w:shd w:val="clear" w:color="auto" w:fill="FAF6EF"/>
          </w:tcPr>
          <w:p>
            <w:pPr>
              <w:spacing w:after="0"/>
              <w:rPr>
                <w:sz w:val="19"/>
                <w:szCs w:val="19"/>
                <w:color w:val="auto"/>
              </w:rPr>
            </w:pPr>
          </w:p>
        </w:tc>
        <w:tc>
          <w:tcPr>
            <w:tcW w:w="2680" w:type="dxa"/>
            <w:vAlign w:val="bottom"/>
            <w:tcBorders>
              <w:right w:val="single" w:sz="8" w:color="7D7D7D"/>
            </w:tcBorders>
            <w:shd w:val="clear" w:color="auto" w:fill="FAF6EF"/>
          </w:tcPr>
          <w:p>
            <w:pPr>
              <w:ind w:left="80"/>
              <w:spacing w:after="0"/>
              <w:rPr>
                <w:sz w:val="20"/>
                <w:szCs w:val="20"/>
                <w:color w:val="auto"/>
              </w:rPr>
            </w:pPr>
            <w:r>
              <w:rPr>
                <w:rFonts w:ascii="Arial" w:cs="Arial" w:eastAsia="Arial" w:hAnsi="Arial"/>
                <w:sz w:val="16"/>
                <w:szCs w:val="16"/>
                <w:color w:val="auto"/>
              </w:rPr>
              <w:t>stockholder interests in creating</w:t>
            </w:r>
          </w:p>
        </w:tc>
        <w:tc>
          <w:tcPr>
            <w:tcW w:w="6280" w:type="dxa"/>
            <w:vAlign w:val="bottom"/>
            <w:shd w:val="clear" w:color="auto" w:fill="FAF6EF"/>
          </w:tcPr>
          <w:p>
            <w:pPr>
              <w:ind w:left="100"/>
              <w:spacing w:after="0"/>
              <w:rPr>
                <w:sz w:val="20"/>
                <w:szCs w:val="20"/>
                <w:color w:val="auto"/>
              </w:rPr>
            </w:pPr>
            <w:r>
              <w:rPr>
                <w:rFonts w:ascii="Arial" w:cs="Arial" w:eastAsia="Arial" w:hAnsi="Arial"/>
                <w:sz w:val="16"/>
                <w:szCs w:val="16"/>
                <w:color w:val="auto"/>
                <w:w w:val="98"/>
              </w:rPr>
              <w:t>(ii) PSU awards tied to a three-year relative TSR metric (as described below) (34%), and</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80" w:type="dxa"/>
            <w:vAlign w:val="bottom"/>
            <w:tcBorders>
              <w:left w:val="single" w:sz="8" w:color="7D7D7D"/>
              <w:right w:val="single" w:sz="8" w:color="7D7D7D"/>
            </w:tcBorders>
            <w:shd w:val="clear" w:color="auto" w:fill="FAF6EF"/>
          </w:tcPr>
          <w:p>
            <w:pPr>
              <w:spacing w:after="0"/>
              <w:rPr>
                <w:sz w:val="19"/>
                <w:szCs w:val="19"/>
                <w:color w:val="auto"/>
              </w:rPr>
            </w:pPr>
          </w:p>
        </w:tc>
        <w:tc>
          <w:tcPr>
            <w:tcW w:w="2680" w:type="dxa"/>
            <w:vAlign w:val="bottom"/>
            <w:tcBorders>
              <w:right w:val="single" w:sz="8" w:color="7D7D7D"/>
            </w:tcBorders>
            <w:shd w:val="clear" w:color="auto" w:fill="FAF6EF"/>
          </w:tcPr>
          <w:p>
            <w:pPr>
              <w:ind w:left="80"/>
              <w:spacing w:after="0"/>
              <w:rPr>
                <w:sz w:val="20"/>
                <w:szCs w:val="20"/>
                <w:color w:val="auto"/>
              </w:rPr>
            </w:pPr>
            <w:r>
              <w:rPr>
                <w:rFonts w:ascii="Arial" w:cs="Arial" w:eastAsia="Arial" w:hAnsi="Arial"/>
                <w:sz w:val="16"/>
                <w:szCs w:val="16"/>
                <w:color w:val="auto"/>
              </w:rPr>
              <w:t>long-term value; and attracts and</w:t>
            </w:r>
          </w:p>
        </w:tc>
        <w:tc>
          <w:tcPr>
            <w:tcW w:w="6280" w:type="dxa"/>
            <w:vAlign w:val="bottom"/>
            <w:shd w:val="clear" w:color="auto" w:fill="FAF6EF"/>
          </w:tcPr>
          <w:p>
            <w:pPr>
              <w:ind w:left="100"/>
              <w:spacing w:after="0"/>
              <w:rPr>
                <w:sz w:val="20"/>
                <w:szCs w:val="20"/>
                <w:color w:val="auto"/>
              </w:rPr>
            </w:pPr>
            <w:r>
              <w:rPr>
                <w:rFonts w:ascii="Arial" w:cs="Arial" w:eastAsia="Arial" w:hAnsi="Arial"/>
                <w:sz w:val="16"/>
                <w:szCs w:val="16"/>
                <w:color w:val="auto"/>
              </w:rPr>
              <w:t>(iii) time-based RSU awards that vest over three years based on continuous service</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80" w:type="dxa"/>
            <w:vAlign w:val="bottom"/>
            <w:tcBorders>
              <w:left w:val="single" w:sz="8" w:color="7D7D7D"/>
              <w:right w:val="single" w:sz="8" w:color="7D7D7D"/>
            </w:tcBorders>
            <w:shd w:val="clear" w:color="auto" w:fill="FAF6EF"/>
          </w:tcPr>
          <w:p>
            <w:pPr>
              <w:spacing w:after="0"/>
              <w:rPr>
                <w:sz w:val="19"/>
                <w:szCs w:val="19"/>
                <w:color w:val="auto"/>
              </w:rPr>
            </w:pPr>
          </w:p>
        </w:tc>
        <w:tc>
          <w:tcPr>
            <w:tcW w:w="2680" w:type="dxa"/>
            <w:vAlign w:val="bottom"/>
            <w:tcBorders>
              <w:right w:val="single" w:sz="8" w:color="7D7D7D"/>
            </w:tcBorders>
            <w:shd w:val="clear" w:color="auto" w:fill="FAF6EF"/>
          </w:tcPr>
          <w:p>
            <w:pPr>
              <w:ind w:left="80"/>
              <w:spacing w:after="0"/>
              <w:rPr>
                <w:sz w:val="20"/>
                <w:szCs w:val="20"/>
                <w:color w:val="auto"/>
              </w:rPr>
            </w:pPr>
            <w:r>
              <w:rPr>
                <w:rFonts w:ascii="Arial" w:cs="Arial" w:eastAsia="Arial" w:hAnsi="Arial"/>
                <w:sz w:val="16"/>
                <w:szCs w:val="16"/>
                <w:color w:val="auto"/>
              </w:rPr>
              <w:t>retains highly qualified executives.</w:t>
            </w:r>
          </w:p>
        </w:tc>
        <w:tc>
          <w:tcPr>
            <w:tcW w:w="6280" w:type="dxa"/>
            <w:vAlign w:val="bottom"/>
            <w:shd w:val="clear" w:color="auto" w:fill="FAF6EF"/>
          </w:tcPr>
          <w:p>
            <w:pPr>
              <w:ind w:left="100"/>
              <w:spacing w:after="0"/>
              <w:rPr>
                <w:sz w:val="20"/>
                <w:szCs w:val="20"/>
                <w:color w:val="auto"/>
              </w:rPr>
            </w:pPr>
            <w:r>
              <w:rPr>
                <w:rFonts w:ascii="Arial" w:cs="Arial" w:eastAsia="Arial" w:hAnsi="Arial"/>
                <w:sz w:val="16"/>
                <w:szCs w:val="16"/>
                <w:color w:val="auto"/>
              </w:rPr>
              <w:t>(33%).</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280" w:type="dxa"/>
            <w:vAlign w:val="bottom"/>
            <w:tcBorders>
              <w:left w:val="single" w:sz="8" w:color="7D7D7D"/>
              <w:right w:val="single" w:sz="8" w:color="7D7D7D"/>
            </w:tcBorders>
            <w:shd w:val="clear" w:color="auto" w:fill="FAF6EF"/>
          </w:tcPr>
          <w:p>
            <w:pPr>
              <w:spacing w:after="0"/>
              <w:rPr>
                <w:sz w:val="16"/>
                <w:szCs w:val="16"/>
                <w:color w:val="auto"/>
              </w:rPr>
            </w:pPr>
          </w:p>
        </w:tc>
        <w:tc>
          <w:tcPr>
            <w:tcW w:w="2680" w:type="dxa"/>
            <w:vAlign w:val="bottom"/>
            <w:tcBorders>
              <w:right w:val="single" w:sz="8" w:color="7D7D7D"/>
            </w:tcBorders>
            <w:shd w:val="clear" w:color="auto" w:fill="FAF6EF"/>
          </w:tcPr>
          <w:p>
            <w:pPr>
              <w:spacing w:after="0"/>
              <w:rPr>
                <w:sz w:val="16"/>
                <w:szCs w:val="16"/>
                <w:color w:val="auto"/>
              </w:rPr>
            </w:pPr>
          </w:p>
        </w:tc>
        <w:tc>
          <w:tcPr>
            <w:tcW w:w="6280" w:type="dxa"/>
            <w:vAlign w:val="bottom"/>
            <w:shd w:val="clear" w:color="auto" w:fill="FAF6EF"/>
          </w:tcPr>
          <w:p>
            <w:pPr>
              <w:spacing w:after="0"/>
              <w:rPr>
                <w:sz w:val="16"/>
                <w:szCs w:val="16"/>
                <w:color w:val="auto"/>
              </w:rPr>
            </w:pPr>
          </w:p>
        </w:tc>
        <w:tc>
          <w:tcPr>
            <w:tcW w:w="20" w:type="dxa"/>
            <w:vAlign w:val="bottom"/>
            <w:shd w:val="clear" w:color="auto" w:fill="7D7D7D"/>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35" w:name="page36"/>
    <w:bookmarkEnd w:id="35"/>
    <w:p>
      <w:pPr>
        <w:spacing w:after="0"/>
        <w:rPr>
          <w:sz w:val="20"/>
          <w:szCs w:val="20"/>
          <w:color w:val="auto"/>
        </w:rPr>
      </w:pPr>
      <w:r>
        <w:rPr>
          <w:rFonts w:ascii="Arial" w:cs="Arial" w:eastAsia="Arial" w:hAnsi="Arial"/>
          <w:sz w:val="21"/>
          <w:szCs w:val="21"/>
          <w:b w:val="1"/>
          <w:bCs w:val="1"/>
          <w:color w:val="auto"/>
        </w:rPr>
        <w:t>Compensation Program Governance</w:t>
      </w:r>
    </w:p>
    <w:p>
      <w:pPr>
        <w:spacing w:after="0" w:line="125"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The Compensation Committee assesses the effectiveness of our executive compensation program from time to time and reviews risk mitigation and governance matters, which includes maintaining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36765" cy="173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765" cy="1739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15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3460750" cy="1958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60750" cy="1958340"/>
                    </a:xfrm>
                    <a:prstGeom prst="rect">
                      <a:avLst/>
                    </a:prstGeom>
                    <a:noFill/>
                  </pic:spPr>
                </pic:pic>
              </a:graphicData>
            </a:graphic>
          </wp:anchor>
        </w:drawing>
      </w:r>
    </w:p>
    <w:p>
      <w:pPr>
        <w:spacing w:after="0" w:line="104" w:lineRule="exact"/>
        <w:rPr>
          <w:sz w:val="20"/>
          <w:szCs w:val="20"/>
          <w:color w:val="auto"/>
        </w:rPr>
      </w:pPr>
    </w:p>
    <w:p>
      <w:pPr>
        <w:ind w:left="200" w:hanging="77"/>
        <w:spacing w:after="0" w:line="318" w:lineRule="auto"/>
        <w:rPr>
          <w:sz w:val="20"/>
          <w:szCs w:val="20"/>
          <w:color w:val="auto"/>
        </w:rPr>
      </w:pPr>
      <w:r>
        <w:rPr>
          <w:rFonts w:ascii="Arial" w:cs="Arial" w:eastAsia="Arial" w:hAnsi="Arial"/>
          <w:sz w:val="16"/>
          <w:szCs w:val="16"/>
          <w:color w:val="auto"/>
        </w:rPr>
        <w:t>Pay for Performance philosophy with a majority of annual compensation at risk</w:t>
      </w:r>
    </w:p>
    <w:p>
      <w:pPr>
        <w:spacing w:after="0" w:line="9" w:lineRule="exact"/>
        <w:rPr>
          <w:sz w:val="20"/>
          <w:szCs w:val="20"/>
          <w:color w:val="auto"/>
        </w:rPr>
      </w:pPr>
    </w:p>
    <w:p>
      <w:pPr>
        <w:ind w:left="200" w:right="400" w:hanging="77"/>
        <w:spacing w:after="0" w:line="318" w:lineRule="auto"/>
        <w:rPr>
          <w:sz w:val="20"/>
          <w:szCs w:val="20"/>
          <w:color w:val="auto"/>
        </w:rPr>
      </w:pPr>
      <w:r>
        <w:rPr>
          <w:rFonts w:ascii="Arial" w:cs="Arial" w:eastAsia="Arial" w:hAnsi="Arial"/>
          <w:sz w:val="16"/>
          <w:szCs w:val="16"/>
          <w:color w:val="auto"/>
        </w:rPr>
        <w:t>Stock Ownership Guidelines instituted with rigorous share ownership requirements</w:t>
      </w:r>
    </w:p>
    <w:p>
      <w:pPr>
        <w:spacing w:after="0" w:line="9" w:lineRule="exact"/>
        <w:rPr>
          <w:sz w:val="20"/>
          <w:szCs w:val="20"/>
          <w:color w:val="auto"/>
        </w:rPr>
      </w:pPr>
    </w:p>
    <w:p>
      <w:pPr>
        <w:ind w:left="200" w:right="120" w:hanging="77"/>
        <w:spacing w:after="0" w:line="318" w:lineRule="auto"/>
        <w:rPr>
          <w:sz w:val="20"/>
          <w:szCs w:val="20"/>
          <w:color w:val="auto"/>
        </w:rPr>
      </w:pPr>
      <w:r>
        <w:rPr>
          <w:rFonts w:ascii="Arial" w:cs="Arial" w:eastAsia="Arial" w:hAnsi="Arial"/>
          <w:sz w:val="16"/>
          <w:szCs w:val="16"/>
          <w:color w:val="auto"/>
        </w:rPr>
        <w:t>Double-trigger equity acceleration in connection with a change in control, requiring both a change in control and qualifying termination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Independent executive compensation consultant retained</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Annual assessment of risk and mitigation practices</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Regular review of share utilization, dilution and cost</w:t>
      </w:r>
    </w:p>
    <w:p>
      <w:pPr>
        <w:spacing w:after="0" w:line="90" w:lineRule="exact"/>
        <w:rPr>
          <w:sz w:val="20"/>
          <w:szCs w:val="20"/>
          <w:color w:val="auto"/>
        </w:rPr>
      </w:pPr>
    </w:p>
    <w:p>
      <w:pPr>
        <w:ind w:left="200" w:right="260" w:hanging="77"/>
        <w:spacing w:after="0" w:line="318" w:lineRule="auto"/>
        <w:rPr>
          <w:sz w:val="20"/>
          <w:szCs w:val="20"/>
          <w:color w:val="auto"/>
        </w:rPr>
      </w:pPr>
      <w:r>
        <w:rPr>
          <w:rFonts w:ascii="Arial" w:cs="Arial" w:eastAsia="Arial" w:hAnsi="Arial"/>
          <w:sz w:val="16"/>
          <w:szCs w:val="16"/>
          <w:color w:val="auto"/>
        </w:rPr>
        <w:t>Robust engagement with stockholders on compensation and corporate governance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Clawback Policy established</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61595</wp:posOffset>
            </wp:positionV>
            <wp:extent cx="3526790" cy="1958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26790" cy="195834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No excise tax or other tax gross ups upon a change in control</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No perquisites or executive fringe benefits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No fixed term or evergreen employment agreements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No guaranteed bonuses</w:t>
      </w:r>
    </w:p>
    <w:p>
      <w:pPr>
        <w:spacing w:after="0" w:line="1519" w:lineRule="exact"/>
        <w:rPr>
          <w:sz w:val="20"/>
          <w:szCs w:val="20"/>
          <w:color w:val="auto"/>
        </w:rPr>
      </w:pPr>
    </w:p>
    <w:p>
      <w:pPr>
        <w:sectPr>
          <w:pgSz w:w="11900" w:h="16838" w:orient="portrait"/>
          <w:cols w:equalWidth="0" w:num="2">
            <w:col w:w="5280" w:space="540"/>
            <w:col w:w="5420"/>
          </w:cols>
          <w:pgMar w:left="320" w:top="754" w:right="33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Decision-Making Process</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Factors Used in Determining Executive Compensation</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evaluating our executive compensation policies and programs, as well as the short-term and long-term value of our executive compensation plans, we consider both the performance and skills of each of our NEOs, as well as the compensation paid to executives in similar companies with similar responsibilities. We focus on providing a competitive compensation package, which provides significant short- and long-term incentives for the achievement of measurable corporate objectives. We believe that this approach provides an appropriate blend of short- and long-term incentives to maximize stockholder value.</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have any formal policies for allocating compensation among salary, bonus awards and equity grants. Instead, the Compensation Committee and Board set the compensation of our NEOs at levels they determine to be competitive and appropriate for each NEO, using the professional experience and judgment of Compensation Committee and Board members. However, in order to align the NEOs’ incentives with the interests of our stockholders and corporate goals, a significant portion of the NEOs’ total target compensation is comprised of performance-based quarterly bonus opportunities and long-term equity awards that vest based upon achievement of performance goals and also upon continuous service over time. In addition, our NEOs generally are awarded an initial new hire equity grant upon commencement of employment. We may also make equity grants to our NEOs in connection with promotions on a case-by-case basis. New hire and promotion equity grants are based primarily on competitive conditions applicable to each specific executive position.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color w:val="auto"/>
        </w:rPr>
        <w:t>In making NEO compensation decisions, the Compensation Committee and Board generally take into consideration the following factors:</w:t>
      </w:r>
    </w:p>
    <w:p>
      <w:pPr>
        <w:spacing w:after="0" w:line="195" w:lineRule="exact"/>
        <w:rPr>
          <w:sz w:val="20"/>
          <w:szCs w:val="20"/>
          <w:color w:val="auto"/>
        </w:rPr>
      </w:pPr>
    </w:p>
    <w:p>
      <w:pPr>
        <w:ind w:left="300" w:hanging="139"/>
        <w:spacing w:after="0"/>
        <w:tabs>
          <w:tab w:leader="none" w:pos="300" w:val="left"/>
        </w:tabs>
        <w:numPr>
          <w:ilvl w:val="0"/>
          <w:numId w:val="28"/>
        </w:numPr>
        <w:rPr>
          <w:rFonts w:ascii="Arial" w:cs="Arial" w:eastAsia="Arial" w:hAnsi="Arial"/>
          <w:sz w:val="12"/>
          <w:szCs w:val="12"/>
          <w:color w:val="auto"/>
        </w:rPr>
      </w:pPr>
      <w:r>
        <w:rPr>
          <w:rFonts w:ascii="Arial" w:cs="Arial" w:eastAsia="Arial" w:hAnsi="Arial"/>
          <w:sz w:val="16"/>
          <w:szCs w:val="16"/>
          <w:color w:val="auto"/>
        </w:rPr>
        <w:t>Our prior performance and existing business needs;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28"/>
        </w:numPr>
        <w:rPr>
          <w:rFonts w:ascii="Arial" w:cs="Arial" w:eastAsia="Arial" w:hAnsi="Arial"/>
          <w:sz w:val="12"/>
          <w:szCs w:val="12"/>
          <w:color w:val="auto"/>
        </w:rPr>
      </w:pPr>
      <w:r>
        <w:rPr>
          <w:rFonts w:ascii="Arial" w:cs="Arial" w:eastAsia="Arial" w:hAnsi="Arial"/>
          <w:sz w:val="16"/>
          <w:szCs w:val="16"/>
          <w:color w:val="auto"/>
        </w:rPr>
        <w:t>Each NEO’s individual performance, scope of job function and the criticality of the skill set of the NEO to our future performance;</w:t>
      </w:r>
    </w:p>
    <w:p>
      <w:pPr>
        <w:spacing w:after="0" w:line="77" w:lineRule="exact"/>
        <w:rPr>
          <w:rFonts w:ascii="Arial" w:cs="Arial" w:eastAsia="Arial" w:hAnsi="Arial"/>
          <w:sz w:val="12"/>
          <w:szCs w:val="12"/>
          <w:color w:val="auto"/>
        </w:rPr>
      </w:pPr>
    </w:p>
    <w:p>
      <w:pPr>
        <w:ind w:left="300" w:hanging="139"/>
        <w:spacing w:after="0"/>
        <w:tabs>
          <w:tab w:leader="none" w:pos="300" w:val="left"/>
        </w:tabs>
        <w:numPr>
          <w:ilvl w:val="0"/>
          <w:numId w:val="28"/>
        </w:numPr>
        <w:rPr>
          <w:rFonts w:ascii="Arial" w:cs="Arial" w:eastAsia="Arial" w:hAnsi="Arial"/>
          <w:sz w:val="12"/>
          <w:szCs w:val="12"/>
          <w:color w:val="auto"/>
        </w:rPr>
      </w:pPr>
      <w:r>
        <w:rPr>
          <w:rFonts w:ascii="Arial" w:cs="Arial" w:eastAsia="Arial" w:hAnsi="Arial"/>
          <w:sz w:val="16"/>
          <w:szCs w:val="16"/>
          <w:color w:val="auto"/>
        </w:rPr>
        <w:t>Internal pay equity;</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28"/>
        </w:numPr>
        <w:rPr>
          <w:rFonts w:ascii="Arial" w:cs="Arial" w:eastAsia="Arial" w:hAnsi="Arial"/>
          <w:sz w:val="12"/>
          <w:szCs w:val="12"/>
          <w:color w:val="auto"/>
        </w:rPr>
      </w:pPr>
      <w:r>
        <w:rPr>
          <w:rFonts w:ascii="Arial" w:cs="Arial" w:eastAsia="Arial" w:hAnsi="Arial"/>
          <w:sz w:val="16"/>
          <w:szCs w:val="16"/>
          <w:color w:val="auto"/>
        </w:rPr>
        <w:t>The need to attract new talent to our executive team and retain existing talent in a highly competitive industry;</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28"/>
        </w:numPr>
        <w:rPr>
          <w:rFonts w:ascii="Arial" w:cs="Arial" w:eastAsia="Arial" w:hAnsi="Arial"/>
          <w:sz w:val="12"/>
          <w:szCs w:val="12"/>
          <w:color w:val="auto"/>
        </w:rPr>
      </w:pPr>
      <w:r>
        <w:rPr>
          <w:rFonts w:ascii="Arial" w:cs="Arial" w:eastAsia="Arial" w:hAnsi="Arial"/>
          <w:sz w:val="16"/>
          <w:szCs w:val="16"/>
          <w:color w:val="auto"/>
        </w:rPr>
        <w:t>A range of market data reference points, as described above under “Use of Competitive Market Compensation Data;” and</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28"/>
        </w:numPr>
        <w:rPr>
          <w:rFonts w:ascii="Arial" w:cs="Arial" w:eastAsia="Arial" w:hAnsi="Arial"/>
          <w:sz w:val="12"/>
          <w:szCs w:val="12"/>
          <w:color w:val="auto"/>
        </w:rPr>
      </w:pPr>
      <w:r>
        <w:rPr>
          <w:rFonts w:ascii="Arial" w:cs="Arial" w:eastAsia="Arial" w:hAnsi="Arial"/>
          <w:sz w:val="16"/>
          <w:szCs w:val="16"/>
          <w:color w:val="auto"/>
        </w:rPr>
        <w:t>Recommendations from consultants on compensation policy determinations.</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We Determine Executive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Role of the Compensation Committee and the Board</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Compensation Committee is appointed by the Board to assist with the Board’s oversight of our compensation policies, plans and programs, administration of our equity plans and its responsibilities related to the compensation of our NEOs, directors and senior management, as appropriate. The Compensation Committee meets periodically throughout the year to manage and evaluate our executive compensation program and generally determines the principal components of compensation (base salary, quarterly performance bonuses and equity awards) for our NEOs on an annual basis; however, the Compensation Committee also approves performance cash bonus payments on a quarterly basis. The Compensation Committee may form and delegate authority to subcommittees as appropriate. However, the Compensation Committee does not delegate authority to approve NEO compensation. The Compensation Committee does not maintain a formal policy regarding the timing of granting equity awards to our NEOs, but typically does so during the beginning of the year.</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Role of Management</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Compensation Committee works with and receives information and analysis from management, including our legal, finance and human resources departments, and our CEO, and considers the information and analyses in determining the structure and amount of compensation to be paid to our employees, including our NEOs. Our legal, finance and human resources departments work with our CEO to: design and develop recommended compensation programs for our NEOs and other senior executives; recommend changes to existing compensation programs; recommend financial and other performance targets to be achieved under those programs; prepare analyses of financial data; prepare peer data comparisons and other briefing materials; and ultimately implement the decisions of the Compensation Committee. Our CEO evaluates the individual performance of the other NEOs and provides the Compensation Committee with such NEO performance assessments and management’s recommendations and proposals regarding NEO compensation programs and decisions affecting base salaries, performance bonuses, equity compensation and other compensation-related matters outside of the presence of any other NEOs. However, the Compensation Committee and the Board retain the final authority to make all compensation decisions. While the CEO and members of our management team discuss recommendations and compensation arrangements with the Compensation Committee, they do not participate in the deliberations concerning or determination of their own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Role of Compensation Consultant</w:t>
      </w:r>
    </w:p>
    <w:p>
      <w:pPr>
        <w:spacing w:after="0" w:line="13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Compensation Committee has the sole authority to retain compensation consultants to assist in its evaluation of executive compensation, including the authority to approve the consultant’s reasonable fees and other retention terms. In July 2022, the Compensation Committee retained Compensia as its compensation consultant. Compensia was engaged to support a review of our approach to executive compensation with a focus on finalizing a methodology that would be responsive to investor input, be aligned with our internal culture and compensation objectives and be competitive with practices among comparable companies. The Compensation Committee assessed the independence of Compensia pursuant to SEC rules and concluded that no conflict of interest existed that would have prevented Compensia from serving as an independent consultant to the Compensation Committee.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7" w:name="page38"/>
    <w:bookmarkEnd w:id="37"/>
    <w:p>
      <w:pPr>
        <w:spacing w:after="0"/>
        <w:rPr>
          <w:sz w:val="20"/>
          <w:szCs w:val="20"/>
          <w:color w:val="auto"/>
        </w:rPr>
      </w:pPr>
      <w:r>
        <w:rPr>
          <w:rFonts w:ascii="Arial" w:cs="Arial" w:eastAsia="Arial" w:hAnsi="Arial"/>
          <w:sz w:val="21"/>
          <w:szCs w:val="21"/>
          <w:b w:val="1"/>
          <w:bCs w:val="1"/>
          <w:color w:val="auto"/>
        </w:rPr>
        <w:t>Use of Competitive Market Compensation Data</w:t>
      </w:r>
    </w:p>
    <w:p>
      <w:pPr>
        <w:spacing w:after="0" w:line="12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strive to attract and retain the most highly qualified employees and NEOs in an extremely competitive market. Accordingly, the Compensation Committee believes it is important when making its compensation decisions to be informed as to the competitive market for executive talent, including the current practices of comparable public companies with which we compete for such talent.</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Compensation Committee regularly reviews our peer group to determine if adjustments are necessary to ensure that the data derived from the group continues to represent current market practices. From time to time, the Compensation Committee will revise the peer group when it determines that additional or different peer companies or groups are necessary to provide appropriate information on market practices and compensation levels. For 2023, the Compensation Committee determined that no changes were necessary to the peer group, which consisted of the following companies: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60" w:type="dxa"/>
            <w:vAlign w:val="bottom"/>
            <w:tcBorders>
              <w:right w:val="single" w:sz="8" w:color="7D7D7D"/>
            </w:tcBorders>
            <w:shd w:val="clear" w:color="auto" w:fill="FAF6EF"/>
          </w:tcPr>
          <w:p>
            <w:pPr>
              <w:ind w:left="100"/>
              <w:spacing w:after="0"/>
              <w:rPr>
                <w:sz w:val="20"/>
                <w:szCs w:val="20"/>
                <w:color w:val="auto"/>
              </w:rPr>
            </w:pPr>
            <w:r>
              <w:rPr>
                <w:rFonts w:ascii="Arial" w:cs="Arial" w:eastAsia="Arial" w:hAnsi="Arial"/>
                <w:sz w:val="16"/>
                <w:szCs w:val="16"/>
                <w:color w:val="auto"/>
              </w:rPr>
              <w:t>ADT, Inc.</w:t>
            </w:r>
          </w:p>
        </w:tc>
        <w:tc>
          <w:tcPr>
            <w:tcW w:w="3760" w:type="dxa"/>
            <w:vAlign w:val="bottom"/>
            <w:tcBorders>
              <w:right w:val="single" w:sz="8" w:color="7D7D7D"/>
            </w:tcBorders>
            <w:shd w:val="clear" w:color="auto" w:fill="FAF6EF"/>
          </w:tcPr>
          <w:p>
            <w:pPr>
              <w:ind w:left="100"/>
              <w:spacing w:after="0"/>
              <w:rPr>
                <w:sz w:val="20"/>
                <w:szCs w:val="20"/>
                <w:color w:val="auto"/>
              </w:rPr>
            </w:pPr>
            <w:r>
              <w:rPr>
                <w:rFonts w:ascii="Arial" w:cs="Arial" w:eastAsia="Arial" w:hAnsi="Arial"/>
                <w:sz w:val="16"/>
                <w:szCs w:val="16"/>
                <w:color w:val="auto"/>
              </w:rPr>
              <w:t>Marvell Semiconductor, Inc.</w:t>
            </w:r>
          </w:p>
        </w:tc>
        <w:tc>
          <w:tcPr>
            <w:tcW w:w="3720" w:type="dxa"/>
            <w:vAlign w:val="bottom"/>
            <w:shd w:val="clear" w:color="auto" w:fill="FAF6EF"/>
          </w:tcPr>
          <w:p>
            <w:pPr>
              <w:ind w:left="80"/>
              <w:spacing w:after="0"/>
              <w:rPr>
                <w:sz w:val="20"/>
                <w:szCs w:val="20"/>
                <w:color w:val="auto"/>
              </w:rPr>
            </w:pPr>
            <w:r>
              <w:rPr>
                <w:rFonts w:ascii="Arial" w:cs="Arial" w:eastAsia="Arial" w:hAnsi="Arial"/>
                <w:sz w:val="16"/>
                <w:szCs w:val="16"/>
                <w:color w:val="auto"/>
              </w:rPr>
              <w:t>Resideo Technologies, Inc.</w:t>
            </w:r>
          </w:p>
        </w:tc>
      </w:tr>
      <w:tr>
        <w:trPr>
          <w:trHeight w:val="228"/>
        </w:trPr>
        <w:tc>
          <w:tcPr>
            <w:tcW w:w="3760" w:type="dxa"/>
            <w:vAlign w:val="bottom"/>
            <w:tcBorders>
              <w:right w:val="single" w:sz="8" w:color="7D7D7D"/>
            </w:tcBorders>
          </w:tcPr>
          <w:p>
            <w:pPr>
              <w:ind w:left="100"/>
              <w:spacing w:after="0"/>
              <w:rPr>
                <w:sz w:val="20"/>
                <w:szCs w:val="20"/>
                <w:color w:val="auto"/>
              </w:rPr>
            </w:pPr>
            <w:r>
              <w:rPr>
                <w:rFonts w:ascii="Arial" w:cs="Arial" w:eastAsia="Arial" w:hAnsi="Arial"/>
                <w:sz w:val="16"/>
                <w:szCs w:val="16"/>
                <w:color w:val="auto"/>
              </w:rPr>
              <w:t>Alarm.com Holdings, Inc.</w:t>
            </w:r>
          </w:p>
        </w:tc>
        <w:tc>
          <w:tcPr>
            <w:tcW w:w="3760" w:type="dxa"/>
            <w:vAlign w:val="bottom"/>
            <w:tcBorders>
              <w:right w:val="single" w:sz="8" w:color="7D7D7D"/>
            </w:tcBorders>
          </w:tcPr>
          <w:p>
            <w:pPr>
              <w:ind w:left="100"/>
              <w:spacing w:after="0"/>
              <w:rPr>
                <w:sz w:val="20"/>
                <w:szCs w:val="20"/>
                <w:color w:val="auto"/>
              </w:rPr>
            </w:pPr>
            <w:r>
              <w:rPr>
                <w:rFonts w:ascii="Arial" w:cs="Arial" w:eastAsia="Arial" w:hAnsi="Arial"/>
                <w:sz w:val="16"/>
                <w:szCs w:val="16"/>
                <w:color w:val="auto"/>
              </w:rPr>
              <w:t>Microchip Technology Incorporated</w:t>
            </w:r>
          </w:p>
        </w:tc>
        <w:tc>
          <w:tcPr>
            <w:tcW w:w="3720" w:type="dxa"/>
            <w:vAlign w:val="bottom"/>
          </w:tcPr>
          <w:p>
            <w:pPr>
              <w:ind w:left="80"/>
              <w:spacing w:after="0"/>
              <w:rPr>
                <w:sz w:val="20"/>
                <w:szCs w:val="20"/>
                <w:color w:val="auto"/>
              </w:rPr>
            </w:pPr>
            <w:r>
              <w:rPr>
                <w:rFonts w:ascii="Arial" w:cs="Arial" w:eastAsia="Arial" w:hAnsi="Arial"/>
                <w:sz w:val="16"/>
                <w:szCs w:val="16"/>
                <w:color w:val="auto"/>
              </w:rPr>
              <w:t>Skyworks Solutions, Inc.</w:t>
            </w:r>
          </w:p>
        </w:tc>
      </w:tr>
      <w:tr>
        <w:trPr>
          <w:trHeight w:val="243"/>
        </w:trPr>
        <w:tc>
          <w:tcPr>
            <w:tcW w:w="3760" w:type="dxa"/>
            <w:vAlign w:val="bottom"/>
            <w:tcBorders>
              <w:right w:val="single" w:sz="8" w:color="7D7D7D"/>
            </w:tcBorders>
            <w:shd w:val="clear" w:color="auto" w:fill="FAF6EF"/>
          </w:tcPr>
          <w:p>
            <w:pPr>
              <w:ind w:left="100"/>
              <w:spacing w:after="0"/>
              <w:rPr>
                <w:sz w:val="20"/>
                <w:szCs w:val="20"/>
                <w:color w:val="auto"/>
              </w:rPr>
            </w:pPr>
            <w:r>
              <w:rPr>
                <w:rFonts w:ascii="Arial" w:cs="Arial" w:eastAsia="Arial" w:hAnsi="Arial"/>
                <w:sz w:val="16"/>
                <w:szCs w:val="16"/>
                <w:color w:val="auto"/>
              </w:rPr>
              <w:t>ChargePoint Holdings, Inc.</w:t>
            </w:r>
          </w:p>
        </w:tc>
        <w:tc>
          <w:tcPr>
            <w:tcW w:w="3760" w:type="dxa"/>
            <w:vAlign w:val="bottom"/>
            <w:tcBorders>
              <w:right w:val="single" w:sz="8" w:color="7D7D7D"/>
            </w:tcBorders>
            <w:shd w:val="clear" w:color="auto" w:fill="FAF6EF"/>
          </w:tcPr>
          <w:p>
            <w:pPr>
              <w:ind w:left="100"/>
              <w:spacing w:after="0"/>
              <w:rPr>
                <w:sz w:val="20"/>
                <w:szCs w:val="20"/>
                <w:color w:val="auto"/>
              </w:rPr>
            </w:pPr>
            <w:r>
              <w:rPr>
                <w:rFonts w:ascii="Arial" w:cs="Arial" w:eastAsia="Arial" w:hAnsi="Arial"/>
                <w:sz w:val="16"/>
                <w:szCs w:val="16"/>
                <w:color w:val="auto"/>
              </w:rPr>
              <w:t>Monolithic Power Systems, Inc.</w:t>
            </w:r>
          </w:p>
        </w:tc>
        <w:tc>
          <w:tcPr>
            <w:tcW w:w="3720" w:type="dxa"/>
            <w:vAlign w:val="bottom"/>
            <w:shd w:val="clear" w:color="auto" w:fill="FAF6EF"/>
          </w:tcPr>
          <w:p>
            <w:pPr>
              <w:ind w:left="80"/>
              <w:spacing w:after="0"/>
              <w:rPr>
                <w:sz w:val="20"/>
                <w:szCs w:val="20"/>
                <w:color w:val="auto"/>
              </w:rPr>
            </w:pPr>
            <w:r>
              <w:rPr>
                <w:rFonts w:ascii="Arial" w:cs="Arial" w:eastAsia="Arial" w:hAnsi="Arial"/>
                <w:sz w:val="16"/>
                <w:szCs w:val="16"/>
                <w:color w:val="auto"/>
              </w:rPr>
              <w:t>SolarEdge Technologies, Inc.</w:t>
            </w:r>
          </w:p>
        </w:tc>
      </w:tr>
      <w:tr>
        <w:trPr>
          <w:trHeight w:val="228"/>
        </w:trPr>
        <w:tc>
          <w:tcPr>
            <w:tcW w:w="3760" w:type="dxa"/>
            <w:vAlign w:val="bottom"/>
            <w:tcBorders>
              <w:right w:val="single" w:sz="8" w:color="7D7D7D"/>
            </w:tcBorders>
          </w:tcPr>
          <w:p>
            <w:pPr>
              <w:ind w:left="100"/>
              <w:spacing w:after="0"/>
              <w:rPr>
                <w:sz w:val="20"/>
                <w:szCs w:val="20"/>
                <w:color w:val="auto"/>
              </w:rPr>
            </w:pPr>
            <w:r>
              <w:rPr>
                <w:rFonts w:ascii="Arial" w:cs="Arial" w:eastAsia="Arial" w:hAnsi="Arial"/>
                <w:sz w:val="16"/>
                <w:szCs w:val="16"/>
                <w:color w:val="auto"/>
              </w:rPr>
              <w:t>First Solar, Inc.</w:t>
            </w:r>
          </w:p>
        </w:tc>
        <w:tc>
          <w:tcPr>
            <w:tcW w:w="3760" w:type="dxa"/>
            <w:vAlign w:val="bottom"/>
            <w:tcBorders>
              <w:right w:val="single" w:sz="8" w:color="7D7D7D"/>
            </w:tcBorders>
          </w:tcPr>
          <w:p>
            <w:pPr>
              <w:ind w:left="100"/>
              <w:spacing w:after="0"/>
              <w:rPr>
                <w:sz w:val="20"/>
                <w:szCs w:val="20"/>
                <w:color w:val="auto"/>
              </w:rPr>
            </w:pPr>
            <w:r>
              <w:rPr>
                <w:rFonts w:ascii="Arial" w:cs="Arial" w:eastAsia="Arial" w:hAnsi="Arial"/>
                <w:sz w:val="16"/>
                <w:szCs w:val="16"/>
                <w:color w:val="auto"/>
              </w:rPr>
              <w:t>NextEra Energy Partners, LP</w:t>
            </w:r>
          </w:p>
        </w:tc>
        <w:tc>
          <w:tcPr>
            <w:tcW w:w="3720" w:type="dxa"/>
            <w:vAlign w:val="bottom"/>
          </w:tcPr>
          <w:p>
            <w:pPr>
              <w:ind w:left="80"/>
              <w:spacing w:after="0"/>
              <w:rPr>
                <w:sz w:val="20"/>
                <w:szCs w:val="20"/>
                <w:color w:val="auto"/>
              </w:rPr>
            </w:pPr>
            <w:r>
              <w:rPr>
                <w:rFonts w:ascii="Arial" w:cs="Arial" w:eastAsia="Arial" w:hAnsi="Arial"/>
                <w:sz w:val="16"/>
                <w:szCs w:val="16"/>
                <w:color w:val="auto"/>
              </w:rPr>
              <w:t>Sunrun, Inc.</w:t>
            </w:r>
          </w:p>
        </w:tc>
      </w:tr>
      <w:tr>
        <w:trPr>
          <w:trHeight w:val="243"/>
        </w:trPr>
        <w:tc>
          <w:tcPr>
            <w:tcW w:w="3760" w:type="dxa"/>
            <w:vAlign w:val="bottom"/>
            <w:tcBorders>
              <w:right w:val="single" w:sz="8" w:color="7D7D7D"/>
            </w:tcBorders>
            <w:shd w:val="clear" w:color="auto" w:fill="FAF6EF"/>
          </w:tcPr>
          <w:p>
            <w:pPr>
              <w:ind w:left="100"/>
              <w:spacing w:after="0"/>
              <w:rPr>
                <w:sz w:val="20"/>
                <w:szCs w:val="20"/>
                <w:color w:val="auto"/>
              </w:rPr>
            </w:pPr>
            <w:r>
              <w:rPr>
                <w:rFonts w:ascii="Arial" w:cs="Arial" w:eastAsia="Arial" w:hAnsi="Arial"/>
                <w:sz w:val="16"/>
                <w:szCs w:val="16"/>
                <w:color w:val="auto"/>
              </w:rPr>
              <w:t>Generac Holdings, Inc.</w:t>
            </w:r>
          </w:p>
        </w:tc>
        <w:tc>
          <w:tcPr>
            <w:tcW w:w="3760" w:type="dxa"/>
            <w:vAlign w:val="bottom"/>
            <w:tcBorders>
              <w:right w:val="single" w:sz="8" w:color="7D7D7D"/>
            </w:tcBorders>
            <w:shd w:val="clear" w:color="auto" w:fill="FAF6EF"/>
          </w:tcPr>
          <w:p>
            <w:pPr>
              <w:ind w:left="100"/>
              <w:spacing w:after="0"/>
              <w:rPr>
                <w:sz w:val="20"/>
                <w:szCs w:val="20"/>
                <w:color w:val="auto"/>
              </w:rPr>
            </w:pPr>
            <w:r>
              <w:rPr>
                <w:rFonts w:ascii="Arial" w:cs="Arial" w:eastAsia="Arial" w:hAnsi="Arial"/>
                <w:sz w:val="16"/>
                <w:szCs w:val="16"/>
                <w:color w:val="auto"/>
              </w:rPr>
              <w:t>ON Semiconductor Corporation</w:t>
            </w:r>
          </w:p>
        </w:tc>
        <w:tc>
          <w:tcPr>
            <w:tcW w:w="3720" w:type="dxa"/>
            <w:vAlign w:val="bottom"/>
            <w:shd w:val="clear" w:color="auto" w:fill="FAF6EF"/>
          </w:tcPr>
          <w:p>
            <w:pPr>
              <w:ind w:left="80"/>
              <w:spacing w:after="0"/>
              <w:rPr>
                <w:sz w:val="20"/>
                <w:szCs w:val="20"/>
                <w:color w:val="auto"/>
              </w:rPr>
            </w:pPr>
            <w:r>
              <w:rPr>
                <w:rFonts w:ascii="Arial" w:cs="Arial" w:eastAsia="Arial" w:hAnsi="Arial"/>
                <w:sz w:val="16"/>
                <w:szCs w:val="16"/>
                <w:color w:val="auto"/>
              </w:rPr>
              <w:t>Synaptics Incorporated</w:t>
            </w:r>
          </w:p>
        </w:tc>
      </w:tr>
      <w:tr>
        <w:trPr>
          <w:trHeight w:val="228"/>
        </w:trPr>
        <w:tc>
          <w:tcPr>
            <w:tcW w:w="3760" w:type="dxa"/>
            <w:vAlign w:val="bottom"/>
            <w:tcBorders>
              <w:right w:val="single" w:sz="8" w:color="7D7D7D"/>
            </w:tcBorders>
          </w:tcPr>
          <w:p>
            <w:pPr>
              <w:ind w:left="100"/>
              <w:spacing w:after="0"/>
              <w:rPr>
                <w:sz w:val="20"/>
                <w:szCs w:val="20"/>
                <w:color w:val="auto"/>
              </w:rPr>
            </w:pPr>
            <w:r>
              <w:rPr>
                <w:rFonts w:ascii="Arial" w:cs="Arial" w:eastAsia="Arial" w:hAnsi="Arial"/>
                <w:sz w:val="16"/>
                <w:szCs w:val="16"/>
                <w:color w:val="auto"/>
              </w:rPr>
              <w:t>Keysight Technologies, Inc.</w:t>
            </w:r>
          </w:p>
        </w:tc>
        <w:tc>
          <w:tcPr>
            <w:tcW w:w="3760" w:type="dxa"/>
            <w:vAlign w:val="bottom"/>
            <w:tcBorders>
              <w:right w:val="single" w:sz="8" w:color="7D7D7D"/>
            </w:tcBorders>
          </w:tcPr>
          <w:p>
            <w:pPr>
              <w:ind w:left="100"/>
              <w:spacing w:after="0"/>
              <w:rPr>
                <w:sz w:val="20"/>
                <w:szCs w:val="20"/>
                <w:color w:val="auto"/>
              </w:rPr>
            </w:pPr>
            <w:r>
              <w:rPr>
                <w:rFonts w:ascii="Arial" w:cs="Arial" w:eastAsia="Arial" w:hAnsi="Arial"/>
                <w:sz w:val="16"/>
                <w:szCs w:val="16"/>
                <w:color w:val="auto"/>
              </w:rPr>
              <w:t>Plug Power, Inc.</w:t>
            </w:r>
          </w:p>
        </w:tc>
        <w:tc>
          <w:tcPr>
            <w:tcW w:w="3720" w:type="dxa"/>
            <w:vAlign w:val="bottom"/>
          </w:tcPr>
          <w:p>
            <w:pPr>
              <w:ind w:left="80"/>
              <w:spacing w:after="0"/>
              <w:rPr>
                <w:sz w:val="20"/>
                <w:szCs w:val="20"/>
                <w:color w:val="auto"/>
              </w:rPr>
            </w:pPr>
            <w:r>
              <w:rPr>
                <w:rFonts w:ascii="Arial" w:cs="Arial" w:eastAsia="Arial" w:hAnsi="Arial"/>
                <w:sz w:val="16"/>
                <w:szCs w:val="16"/>
                <w:color w:val="auto"/>
              </w:rPr>
              <w:t>Teradyne, Inc.</w:t>
            </w:r>
          </w:p>
        </w:tc>
      </w:tr>
      <w:tr>
        <w:trPr>
          <w:trHeight w:val="243"/>
        </w:trPr>
        <w:tc>
          <w:tcPr>
            <w:tcW w:w="3760" w:type="dxa"/>
            <w:vAlign w:val="bottom"/>
            <w:tcBorders>
              <w:right w:val="single" w:sz="8" w:color="7D7D7D"/>
            </w:tcBorders>
            <w:shd w:val="clear" w:color="auto" w:fill="FAF6EF"/>
          </w:tcPr>
          <w:p>
            <w:pPr>
              <w:ind w:left="100"/>
              <w:spacing w:after="0"/>
              <w:rPr>
                <w:sz w:val="20"/>
                <w:szCs w:val="20"/>
                <w:color w:val="auto"/>
              </w:rPr>
            </w:pPr>
            <w:r>
              <w:rPr>
                <w:rFonts w:ascii="Arial" w:cs="Arial" w:eastAsia="Arial" w:hAnsi="Arial"/>
                <w:sz w:val="16"/>
                <w:szCs w:val="16"/>
                <w:color w:val="auto"/>
              </w:rPr>
              <w:t>Lennar Corporation</w:t>
            </w:r>
          </w:p>
        </w:tc>
        <w:tc>
          <w:tcPr>
            <w:tcW w:w="3760" w:type="dxa"/>
            <w:vAlign w:val="bottom"/>
            <w:tcBorders>
              <w:right w:val="single" w:sz="8" w:color="7D7D7D"/>
            </w:tcBorders>
            <w:shd w:val="clear" w:color="auto" w:fill="FAF6EF"/>
          </w:tcPr>
          <w:p>
            <w:pPr>
              <w:ind w:left="100"/>
              <w:spacing w:after="0"/>
              <w:rPr>
                <w:sz w:val="20"/>
                <w:szCs w:val="20"/>
                <w:color w:val="auto"/>
              </w:rPr>
            </w:pPr>
            <w:r>
              <w:rPr>
                <w:rFonts w:ascii="Arial" w:cs="Arial" w:eastAsia="Arial" w:hAnsi="Arial"/>
                <w:sz w:val="16"/>
                <w:szCs w:val="16"/>
                <w:color w:val="auto"/>
              </w:rPr>
              <w:t>Qorvo, Inc.</w:t>
            </w:r>
          </w:p>
        </w:tc>
        <w:tc>
          <w:tcPr>
            <w:tcW w:w="3720" w:type="dxa"/>
            <w:vAlign w:val="bottom"/>
            <w:shd w:val="clear" w:color="auto" w:fill="FAF6EF"/>
          </w:tcPr>
          <w:p>
            <w:pPr>
              <w:ind w:left="80"/>
              <w:spacing w:after="0"/>
              <w:rPr>
                <w:sz w:val="20"/>
                <w:szCs w:val="20"/>
                <w:color w:val="auto"/>
              </w:rPr>
            </w:pPr>
            <w:r>
              <w:rPr>
                <w:rFonts w:ascii="Arial" w:cs="Arial" w:eastAsia="Arial" w:hAnsi="Arial"/>
                <w:sz w:val="16"/>
                <w:szCs w:val="16"/>
                <w:color w:val="auto"/>
              </w:rPr>
              <w:t>Wolfspeed, Inc. (formerly Cree, Inc.)</w:t>
            </w:r>
          </w:p>
        </w:tc>
      </w:tr>
    </w:tbl>
    <w:p>
      <w:pPr>
        <w:spacing w:after="0" w:line="23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criteria for the peer group focused on US-based publicly traded semiconductor, electrical component, and solar and home management companies with a market capitalization between $8.5 billion and $75.0 billion and revenues of $500.0 million to $4.2 billion. The Compensation Committee believes that the resulting peer group companies represented our talent labor market for key leadership positions.</w:t>
      </w:r>
    </w:p>
    <w:p>
      <w:pPr>
        <w:spacing w:after="0" w:line="1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Compensation Committee did not “benchmark” against a specific percentile of the compensation data derived from our 2023 peer group in setting the compensation of any of our NEOs. Rather, in making executive compensation decisions, the Compensation Committee reviewed compensation data from the 2023 peer group companies (referred to as the market data) as reference points (generally at the 25</w:t>
      </w:r>
      <w:r>
        <w:rPr>
          <w:rFonts w:ascii="Arial" w:cs="Arial" w:eastAsia="Arial" w:hAnsi="Arial"/>
          <w:sz w:val="20"/>
          <w:szCs w:val="20"/>
          <w:color w:val="auto"/>
          <w:vertAlign w:val="superscript"/>
        </w:rPr>
        <w:t>th</w:t>
      </w:r>
      <w:r>
        <w:rPr>
          <w:rFonts w:ascii="Arial" w:cs="Arial" w:eastAsia="Arial" w:hAnsi="Arial"/>
          <w:sz w:val="16"/>
          <w:szCs w:val="16"/>
          <w:color w:val="auto"/>
        </w:rPr>
        <w:t>,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 of the market data). The Compensation Committee’s general aim was for total executive compensation to remain competitive with the market, with individual amounts varying as appropriate based on corporate and individual executive performance, and other factors that were deemed appropriate for consideration. Given that we continue to evolve and grow, the Compensation Committee has not developed a specific market positioning that it consistently aims for in setting compensation levels. Instead, the Compensation Committee determines each element of compensation, and total target cash and equity compensation, for each NEO based on various facts and circumstances appropriate for our company in any given year. Competitive market positioning is only one of several factors, as described above under “Factors Used in Determining Executive Compensation,” that the Compensation Committee considers in making compensation decisions, so individual NEO compensation may therefore fall at varying levels as compared to the market data.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8" w:name="page39"/>
    <w:bookmarkEnd w:id="38"/>
    <w:p>
      <w:pPr>
        <w:spacing w:after="0"/>
        <w:rPr>
          <w:sz w:val="20"/>
          <w:szCs w:val="20"/>
          <w:color w:val="auto"/>
        </w:rPr>
      </w:pPr>
      <w:r>
        <w:rPr>
          <w:rFonts w:ascii="Arial" w:cs="Arial" w:eastAsia="Arial" w:hAnsi="Arial"/>
          <w:sz w:val="21"/>
          <w:szCs w:val="21"/>
          <w:b w:val="1"/>
          <w:bCs w:val="1"/>
          <w:color w:val="auto"/>
        </w:rPr>
        <w:t>2023 Executive Compensation Program</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Base Salary</w:t>
      </w:r>
    </w:p>
    <w:p>
      <w:pPr>
        <w:spacing w:after="0" w:line="125"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The Compensation Committee generally reviews our NEOs’ base salaries on an annual basis. The annual base salaries for our NEOs for 2023 are set forth in the chart below. The annual base salaries of our NEOs remained unchanged in 2023 (except for Ms. Yang who received an increase), as compared with 2022 levels, because the Compensation Committee determined that each NEO’s total compensation – comprised of salary, bonus and equity awards – remained competitive based on market data. The Compensation Committee increased Ms. Yang’s salary to better align with the market and in recognition of her performance and the criticality of her role. In addition, the Compensation Committee sought to tie a greater percentage of each NEO’s total compensation to rewarding performance, whether through bonus payments or performance-based equity awards based on the achievement of SMART Goals, as further described below.</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8820" w:type="dxa"/>
            <w:vAlign w:val="bottom"/>
            <w:tcBorders>
              <w:left w:val="single" w:sz="8" w:color="3C3C3C"/>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242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2023 Annual Base Salary ($)</w:t>
            </w:r>
          </w:p>
        </w:tc>
        <w:tc>
          <w:tcPr>
            <w:tcW w:w="20" w:type="dxa"/>
            <w:vAlign w:val="bottom"/>
          </w:tcPr>
          <w:p>
            <w:pPr>
              <w:spacing w:after="0"/>
              <w:rPr>
                <w:sz w:val="19"/>
                <w:szCs w:val="19"/>
                <w:color w:val="auto"/>
              </w:rPr>
            </w:pPr>
          </w:p>
        </w:tc>
      </w:tr>
      <w:tr>
        <w:trPr>
          <w:trHeight w:val="235"/>
        </w:trPr>
        <w:tc>
          <w:tcPr>
            <w:tcW w:w="882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242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450,000</w:t>
            </w:r>
          </w:p>
        </w:tc>
        <w:tc>
          <w:tcPr>
            <w:tcW w:w="20" w:type="dxa"/>
            <w:vAlign w:val="bottom"/>
            <w:shd w:val="clear" w:color="auto" w:fill="7D7D7D"/>
          </w:tcPr>
          <w:p>
            <w:pPr>
              <w:spacing w:after="0"/>
              <w:rPr>
                <w:sz w:val="20"/>
                <w:szCs w:val="20"/>
                <w:color w:val="auto"/>
              </w:rPr>
            </w:pPr>
          </w:p>
        </w:tc>
      </w:tr>
      <w:tr>
        <w:trPr>
          <w:trHeight w:val="288"/>
        </w:trPr>
        <w:tc>
          <w:tcPr>
            <w:tcW w:w="882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Mandy Yang</w:t>
            </w:r>
            <w:r>
              <w:rPr>
                <w:rFonts w:ascii="Arial" w:cs="Arial" w:eastAsia="Arial" w:hAnsi="Arial"/>
                <w:sz w:val="20"/>
                <w:szCs w:val="20"/>
                <w:b w:val="1"/>
                <w:bCs w:val="1"/>
                <w:color w:val="auto"/>
                <w:vertAlign w:val="superscript"/>
              </w:rPr>
              <w:t>(1)</w:t>
            </w:r>
          </w:p>
        </w:tc>
        <w:tc>
          <w:tcPr>
            <w:tcW w:w="2420" w:type="dxa"/>
            <w:vAlign w:val="bottom"/>
          </w:tcPr>
          <w:p>
            <w:pPr>
              <w:jc w:val="center"/>
              <w:spacing w:after="0"/>
              <w:rPr>
                <w:sz w:val="20"/>
                <w:szCs w:val="20"/>
                <w:color w:val="auto"/>
              </w:rPr>
            </w:pPr>
            <w:r>
              <w:rPr>
                <w:rFonts w:ascii="Arial" w:cs="Arial" w:eastAsia="Arial" w:hAnsi="Arial"/>
                <w:sz w:val="16"/>
                <w:szCs w:val="16"/>
                <w:color w:val="auto"/>
              </w:rPr>
              <w:t>363,125</w:t>
            </w:r>
          </w:p>
        </w:tc>
        <w:tc>
          <w:tcPr>
            <w:tcW w:w="20" w:type="dxa"/>
            <w:vAlign w:val="bottom"/>
            <w:shd w:val="clear" w:color="auto" w:fill="7D7D7D"/>
          </w:tcPr>
          <w:p>
            <w:pPr>
              <w:spacing w:after="0"/>
              <w:rPr>
                <w:sz w:val="24"/>
                <w:szCs w:val="24"/>
                <w:color w:val="auto"/>
              </w:rPr>
            </w:pPr>
          </w:p>
        </w:tc>
      </w:tr>
      <w:tr>
        <w:trPr>
          <w:trHeight w:val="235"/>
        </w:trPr>
        <w:tc>
          <w:tcPr>
            <w:tcW w:w="882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242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400,000</w:t>
            </w:r>
          </w:p>
        </w:tc>
        <w:tc>
          <w:tcPr>
            <w:tcW w:w="20" w:type="dxa"/>
            <w:vAlign w:val="bottom"/>
            <w:shd w:val="clear" w:color="auto" w:fill="7D7D7D"/>
          </w:tcPr>
          <w:p>
            <w:pPr>
              <w:spacing w:after="0"/>
              <w:rPr>
                <w:sz w:val="20"/>
                <w:szCs w:val="20"/>
                <w:color w:val="auto"/>
              </w:rPr>
            </w:pPr>
          </w:p>
        </w:tc>
      </w:tr>
      <w:tr>
        <w:trPr>
          <w:trHeight w:val="288"/>
        </w:trPr>
        <w:tc>
          <w:tcPr>
            <w:tcW w:w="882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Jeffrey McNeil</w:t>
            </w:r>
            <w:r>
              <w:rPr>
                <w:rFonts w:ascii="Arial" w:cs="Arial" w:eastAsia="Arial" w:hAnsi="Arial"/>
                <w:sz w:val="20"/>
                <w:szCs w:val="20"/>
                <w:b w:val="1"/>
                <w:bCs w:val="1"/>
                <w:color w:val="auto"/>
                <w:vertAlign w:val="superscript"/>
              </w:rPr>
              <w:t>(2)</w:t>
            </w:r>
          </w:p>
        </w:tc>
        <w:tc>
          <w:tcPr>
            <w:tcW w:w="2420" w:type="dxa"/>
            <w:vAlign w:val="bottom"/>
          </w:tcPr>
          <w:p>
            <w:pPr>
              <w:jc w:val="center"/>
              <w:spacing w:after="0"/>
              <w:rPr>
                <w:sz w:val="20"/>
                <w:szCs w:val="20"/>
                <w:color w:val="auto"/>
              </w:rPr>
            </w:pPr>
            <w:r>
              <w:rPr>
                <w:rFonts w:ascii="Arial" w:cs="Arial" w:eastAsia="Arial" w:hAnsi="Arial"/>
                <w:sz w:val="16"/>
                <w:szCs w:val="16"/>
                <w:color w:val="auto"/>
              </w:rPr>
              <w:t>258,333</w:t>
            </w:r>
          </w:p>
        </w:tc>
        <w:tc>
          <w:tcPr>
            <w:tcW w:w="20" w:type="dxa"/>
            <w:vAlign w:val="bottom"/>
            <w:shd w:val="clear" w:color="auto" w:fill="7D7D7D"/>
          </w:tcPr>
          <w:p>
            <w:pPr>
              <w:spacing w:after="0"/>
              <w:rPr>
                <w:sz w:val="24"/>
                <w:szCs w:val="24"/>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ind w:left="220" w:hanging="215"/>
        <w:spacing w:after="0"/>
        <w:tabs>
          <w:tab w:leader="none" w:pos="220" w:val="left"/>
        </w:tabs>
        <w:numPr>
          <w:ilvl w:val="0"/>
          <w:numId w:val="29"/>
        </w:numPr>
        <w:rPr>
          <w:rFonts w:ascii="Arial" w:cs="Arial" w:eastAsia="Arial" w:hAnsi="Arial"/>
          <w:sz w:val="14"/>
          <w:szCs w:val="14"/>
          <w:color w:val="7D7D7D"/>
        </w:rPr>
      </w:pPr>
      <w:r>
        <w:rPr>
          <w:rFonts w:ascii="Arial" w:cs="Arial" w:eastAsia="Arial" w:hAnsi="Arial"/>
          <w:sz w:val="14"/>
          <w:szCs w:val="14"/>
          <w:color w:val="7D7D7D"/>
        </w:rPr>
        <w:t>Ms. Yang’s base salary was increased from $350,000 to $367,500 effective as of April 1, 2023.</w:t>
      </w:r>
    </w:p>
    <w:p>
      <w:pPr>
        <w:spacing w:after="0" w:line="61" w:lineRule="exact"/>
        <w:rPr>
          <w:sz w:val="20"/>
          <w:szCs w:val="20"/>
          <w:color w:val="auto"/>
        </w:rPr>
      </w:pPr>
    </w:p>
    <w:p>
      <w:pPr>
        <w:ind w:left="240" w:right="20" w:hanging="235"/>
        <w:spacing w:after="0" w:line="287" w:lineRule="auto"/>
        <w:tabs>
          <w:tab w:leader="none" w:pos="226" w:val="left"/>
        </w:tabs>
        <w:numPr>
          <w:ilvl w:val="0"/>
          <w:numId w:val="30"/>
        </w:numPr>
        <w:rPr>
          <w:rFonts w:ascii="Arial" w:cs="Arial" w:eastAsia="Arial" w:hAnsi="Arial"/>
          <w:sz w:val="14"/>
          <w:szCs w:val="14"/>
          <w:color w:val="7D7D7D"/>
        </w:rPr>
      </w:pPr>
      <w:r>
        <w:rPr>
          <w:rFonts w:ascii="Arial" w:cs="Arial" w:eastAsia="Arial" w:hAnsi="Arial"/>
          <w:sz w:val="14"/>
          <w:szCs w:val="14"/>
          <w:color w:val="7D7D7D"/>
        </w:rPr>
        <w:t>Mr. McNeil stepped down as an executive officer effective as of March 31, 2023 and became Chief Advisor. His base salary was reduced from $400,000 to $200,000 effective as of April 17, 2023.</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Performance Metrics — Annual and Quarterly CEO SMART GOALS</w:t>
      </w:r>
    </w:p>
    <w:p>
      <w:pPr>
        <w:spacing w:after="0" w:line="139"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SMART goals are a core component of both our short-term quarterly cash bonus program and our equity incentive program. “SMART” goals are targets that are: specific, measurable, achievable, relevant and time based. At the beginning of each year, the Board approves the annual CEO goals (the “Annual CEO SMART Goals”) and the quarterly CEO goals (the “Quarterly CEO SMART Goals”).</w:t>
      </w:r>
    </w:p>
    <w:p>
      <w:pPr>
        <w:spacing w:after="0" w:line="13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2023 Annual CEO SMART Goals and the Quarterly CEO SMART Goals (collectively, the “CEO Goals”) were designed to be aggressive and rigorous, but attainable with significant skill and effort. When the CEO Goals were defined in early January 2023, the Compensation Committee and the Board believed that the CEO Goals were substantially uncertain to be achieved.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Both the 2023 Annual CEO SMART Goals and the Quarterly CEO SMART Goals were part of a balanced scorecard that covered ten categories:</w:t>
      </w:r>
    </w:p>
    <w:p>
      <w:pPr>
        <w:spacing w:after="0" w:line="195" w:lineRule="exact"/>
        <w:rPr>
          <w:sz w:val="20"/>
          <w:szCs w:val="20"/>
          <w:color w:val="auto"/>
        </w:rPr>
      </w:pPr>
    </w:p>
    <w:p>
      <w:pPr>
        <w:ind w:left="300" w:hanging="139"/>
        <w:spacing w:after="0"/>
        <w:tabs>
          <w:tab w:leader="none" w:pos="300" w:val="left"/>
        </w:tabs>
        <w:numPr>
          <w:ilvl w:val="0"/>
          <w:numId w:val="31"/>
        </w:numPr>
        <w:rPr>
          <w:rFonts w:ascii="Arial" w:cs="Arial" w:eastAsia="Arial" w:hAnsi="Arial"/>
          <w:sz w:val="12"/>
          <w:szCs w:val="12"/>
          <w:color w:val="auto"/>
        </w:rPr>
      </w:pPr>
      <w:r>
        <w:rPr>
          <w:rFonts w:ascii="Arial" w:cs="Arial" w:eastAsia="Arial" w:hAnsi="Arial"/>
          <w:sz w:val="16"/>
          <w:szCs w:val="16"/>
          <w:color w:val="auto"/>
        </w:rPr>
        <w:t>Revenue growth;</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31"/>
        </w:numPr>
        <w:rPr>
          <w:rFonts w:ascii="Arial" w:cs="Arial" w:eastAsia="Arial" w:hAnsi="Arial"/>
          <w:sz w:val="12"/>
          <w:szCs w:val="12"/>
          <w:color w:val="auto"/>
        </w:rPr>
      </w:pPr>
      <w:r>
        <w:rPr>
          <w:rFonts w:ascii="Arial" w:cs="Arial" w:eastAsia="Arial" w:hAnsi="Arial"/>
          <w:sz w:val="16"/>
          <w:szCs w:val="16"/>
          <w:color w:val="auto"/>
        </w:rPr>
        <w:t>Profit before taxes;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31"/>
        </w:numPr>
        <w:rPr>
          <w:rFonts w:ascii="Arial" w:cs="Arial" w:eastAsia="Arial" w:hAnsi="Arial"/>
          <w:sz w:val="12"/>
          <w:szCs w:val="12"/>
          <w:color w:val="auto"/>
        </w:rPr>
      </w:pPr>
      <w:r>
        <w:rPr>
          <w:rFonts w:ascii="Arial" w:cs="Arial" w:eastAsia="Arial" w:hAnsi="Arial"/>
          <w:sz w:val="16"/>
          <w:szCs w:val="16"/>
          <w:color w:val="auto"/>
        </w:rPr>
        <w:t>New products;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31"/>
        </w:numPr>
        <w:rPr>
          <w:rFonts w:ascii="Arial" w:cs="Arial" w:eastAsia="Arial" w:hAnsi="Arial"/>
          <w:sz w:val="12"/>
          <w:szCs w:val="12"/>
          <w:color w:val="auto"/>
        </w:rPr>
      </w:pPr>
      <w:r>
        <w:rPr>
          <w:rFonts w:ascii="Arial" w:cs="Arial" w:eastAsia="Arial" w:hAnsi="Arial"/>
          <w:sz w:val="16"/>
          <w:szCs w:val="16"/>
          <w:color w:val="auto"/>
        </w:rPr>
        <w:t>Innovation;</w:t>
      </w:r>
    </w:p>
    <w:p>
      <w:pPr>
        <w:spacing w:after="0" w:line="77" w:lineRule="exact"/>
        <w:rPr>
          <w:rFonts w:ascii="Arial" w:cs="Arial" w:eastAsia="Arial" w:hAnsi="Arial"/>
          <w:sz w:val="12"/>
          <w:szCs w:val="12"/>
          <w:color w:val="auto"/>
        </w:rPr>
      </w:pPr>
    </w:p>
    <w:p>
      <w:pPr>
        <w:ind w:left="300" w:hanging="139"/>
        <w:spacing w:after="0"/>
        <w:tabs>
          <w:tab w:leader="none" w:pos="300" w:val="left"/>
        </w:tabs>
        <w:numPr>
          <w:ilvl w:val="0"/>
          <w:numId w:val="31"/>
        </w:numPr>
        <w:rPr>
          <w:rFonts w:ascii="Arial" w:cs="Arial" w:eastAsia="Arial" w:hAnsi="Arial"/>
          <w:sz w:val="12"/>
          <w:szCs w:val="12"/>
          <w:color w:val="auto"/>
        </w:rPr>
      </w:pPr>
      <w:r>
        <w:rPr>
          <w:rFonts w:ascii="Arial" w:cs="Arial" w:eastAsia="Arial" w:hAnsi="Arial"/>
          <w:sz w:val="16"/>
          <w:szCs w:val="16"/>
          <w:color w:val="auto"/>
        </w:rPr>
        <w:t>Operations and IT;</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31"/>
        </w:numPr>
        <w:rPr>
          <w:rFonts w:ascii="Arial" w:cs="Arial" w:eastAsia="Arial" w:hAnsi="Arial"/>
          <w:sz w:val="12"/>
          <w:szCs w:val="12"/>
          <w:color w:val="auto"/>
        </w:rPr>
      </w:pPr>
      <w:r>
        <w:rPr>
          <w:rFonts w:ascii="Arial" w:cs="Arial" w:eastAsia="Arial" w:hAnsi="Arial"/>
          <w:sz w:val="16"/>
          <w:szCs w:val="16"/>
          <w:color w:val="auto"/>
        </w:rPr>
        <w:t>Quality;</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31"/>
        </w:numPr>
        <w:rPr>
          <w:rFonts w:ascii="Arial" w:cs="Arial" w:eastAsia="Arial" w:hAnsi="Arial"/>
          <w:sz w:val="12"/>
          <w:szCs w:val="12"/>
          <w:color w:val="auto"/>
        </w:rPr>
      </w:pPr>
      <w:r>
        <w:rPr>
          <w:rFonts w:ascii="Arial" w:cs="Arial" w:eastAsia="Arial" w:hAnsi="Arial"/>
          <w:sz w:val="16"/>
          <w:szCs w:val="16"/>
          <w:color w:val="auto"/>
        </w:rPr>
        <w:t>Ease of doing business;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31"/>
        </w:numPr>
        <w:rPr>
          <w:rFonts w:ascii="Arial" w:cs="Arial" w:eastAsia="Arial" w:hAnsi="Arial"/>
          <w:sz w:val="12"/>
          <w:szCs w:val="12"/>
          <w:color w:val="auto"/>
        </w:rPr>
      </w:pPr>
      <w:r>
        <w:rPr>
          <w:rFonts w:ascii="Arial" w:cs="Arial" w:eastAsia="Arial" w:hAnsi="Arial"/>
          <w:sz w:val="16"/>
          <w:szCs w:val="16"/>
          <w:color w:val="auto"/>
        </w:rPr>
        <w:t>Human resources;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31"/>
        </w:numPr>
        <w:rPr>
          <w:rFonts w:ascii="Arial" w:cs="Arial" w:eastAsia="Arial" w:hAnsi="Arial"/>
          <w:sz w:val="12"/>
          <w:szCs w:val="12"/>
          <w:color w:val="auto"/>
        </w:rPr>
      </w:pPr>
      <w:r>
        <w:rPr>
          <w:rFonts w:ascii="Arial" w:cs="Arial" w:eastAsia="Arial" w:hAnsi="Arial"/>
          <w:sz w:val="16"/>
          <w:szCs w:val="16"/>
          <w:color w:val="auto"/>
        </w:rPr>
        <w:t>Marketing; and</w:t>
      </w:r>
    </w:p>
    <w:p>
      <w:pPr>
        <w:spacing w:after="0" w:line="77" w:lineRule="exact"/>
        <w:rPr>
          <w:rFonts w:ascii="Arial" w:cs="Arial" w:eastAsia="Arial" w:hAnsi="Arial"/>
          <w:sz w:val="12"/>
          <w:szCs w:val="12"/>
          <w:color w:val="auto"/>
        </w:rPr>
      </w:pPr>
    </w:p>
    <w:p>
      <w:pPr>
        <w:ind w:left="300" w:hanging="139"/>
        <w:spacing w:after="0"/>
        <w:tabs>
          <w:tab w:leader="none" w:pos="300" w:val="left"/>
        </w:tabs>
        <w:numPr>
          <w:ilvl w:val="0"/>
          <w:numId w:val="31"/>
        </w:numPr>
        <w:rPr>
          <w:rFonts w:ascii="Arial" w:cs="Arial" w:eastAsia="Arial" w:hAnsi="Arial"/>
          <w:sz w:val="12"/>
          <w:szCs w:val="12"/>
          <w:color w:val="auto"/>
        </w:rPr>
      </w:pPr>
      <w:r>
        <w:rPr>
          <w:rFonts w:ascii="Arial" w:cs="Arial" w:eastAsia="Arial" w:hAnsi="Arial"/>
          <w:sz w:val="16"/>
          <w:szCs w:val="16"/>
          <w:color w:val="auto"/>
        </w:rPr>
        <w:t>M&amp;A/ESG.</w:t>
      </w:r>
    </w:p>
    <w:p>
      <w:pPr>
        <w:spacing w:after="0" w:line="195"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In 2023, we added a specific goal related to ESG matters as the Board and the Compensation Committee believe this target can help Enphase achieve its long-term goals and help in value creation. The Annual CEO SMART Goals served as one of the components in determining the payout under the equity incentive compensation program, and the Quarterly CEO SMART Goals served as one of the factors in determining the payout under the quarterly cash bonus program, as further described below.</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39" w:name="page40"/>
    <w:bookmarkEnd w:id="39"/>
    <w:p>
      <w:pPr>
        <w:spacing w:after="0"/>
        <w:rPr>
          <w:sz w:val="20"/>
          <w:szCs w:val="20"/>
          <w:color w:val="auto"/>
        </w:rPr>
      </w:pPr>
      <w:r>
        <w:rPr>
          <w:rFonts w:ascii="Arial" w:cs="Arial" w:eastAsia="Arial" w:hAnsi="Arial"/>
          <w:sz w:val="21"/>
          <w:szCs w:val="21"/>
          <w:b w:val="1"/>
          <w:bCs w:val="1"/>
          <w:color w:val="auto"/>
        </w:rPr>
        <w:t>2023 Quarterly Performance Cash Bonus Program</w:t>
      </w:r>
    </w:p>
    <w:p>
      <w:pPr>
        <w:spacing w:after="0" w:line="125"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Each of our NEOs was eligible for quarterly performance bonuses under the 2023 Bonus Program. The 2023 Bonus Program was designed to align compensation with annual goals that were measured and paid quarterly, based upon Company and individual performance to better incentivize executives to achieve real-time goals, set on a quarterly basis. The Quarterly CEO SMART Goals were designed to drive revenue and gross margin growth and profitability, encourage accountability, drive execution of short-term priorities tied to long-term strategy and annual operating plan objectives, and to recognize and reward our NEOs based upon their achievement of certain individual objectives during a quarter.</w:t>
      </w:r>
    </w:p>
    <w:p>
      <w:pPr>
        <w:spacing w:after="0" w:line="135"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The Compensation Committee approved target bonus percentages for each NEO under the 2023 Bonus Program, which were unchanged from the 2022 calendar year (the “Bonus Percentage”). Such Bonus Percentages were consistent with our philosophy that a significant portion of each executive’s total target compensation should be tied to performance, and they reflected the Compensation Committee’s review of internal pay equity. The respective target bonus percentages for our NEOs were set as follows: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8740" w:type="dxa"/>
            <w:vAlign w:val="bottom"/>
            <w:tcBorders>
              <w:left w:val="single" w:sz="8" w:color="3C3C3C"/>
              <w:right w:val="single" w:sz="8" w:color="3C3C3C"/>
            </w:tcBorders>
            <w:vMerge w:val="restart"/>
            <w:shd w:val="clear" w:color="auto" w:fill="3C3C3C"/>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250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7"/>
              </w:rPr>
              <w:t>Bonus Target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740" w:type="dxa"/>
            <w:vAlign w:val="bottom"/>
            <w:tcBorders>
              <w:left w:val="single" w:sz="8" w:color="3C3C3C"/>
              <w:right w:val="single" w:sz="8" w:color="3C3C3C"/>
            </w:tcBorders>
            <w:vMerge w:val="continue"/>
            <w:shd w:val="clear" w:color="auto" w:fill="3C3C3C"/>
          </w:tcPr>
          <w:p>
            <w:pPr>
              <w:spacing w:after="0"/>
              <w:rPr>
                <w:sz w:val="18"/>
                <w:szCs w:val="18"/>
                <w:color w:val="auto"/>
              </w:rPr>
            </w:pPr>
          </w:p>
        </w:tc>
        <w:tc>
          <w:tcPr>
            <w:tcW w:w="250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5"/>
              </w:rPr>
              <w:t>(% of base salary)</w:t>
            </w:r>
            <w:r>
              <w:rPr>
                <w:rFonts w:ascii="Arial" w:cs="Arial" w:eastAsia="Arial" w:hAnsi="Arial"/>
                <w:sz w:val="18"/>
                <w:szCs w:val="18"/>
                <w:b w:val="1"/>
                <w:bCs w:val="1"/>
                <w:color w:val="FFFFFF"/>
                <w:w w:val="95"/>
                <w:vertAlign w:val="superscript"/>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7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25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7"/>
              </w:rPr>
              <w:t>100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7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2500" w:type="dxa"/>
            <w:vAlign w:val="bottom"/>
          </w:tcPr>
          <w:p>
            <w:pPr>
              <w:jc w:val="center"/>
              <w:spacing w:after="0"/>
              <w:rPr>
                <w:sz w:val="20"/>
                <w:szCs w:val="20"/>
                <w:color w:val="auto"/>
              </w:rPr>
            </w:pPr>
            <w:r>
              <w:rPr>
                <w:rFonts w:ascii="Arial" w:cs="Arial" w:eastAsia="Arial" w:hAnsi="Arial"/>
                <w:sz w:val="16"/>
                <w:szCs w:val="16"/>
                <w:color w:val="auto"/>
              </w:rPr>
              <w:t>75</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7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25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75</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7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Jeffrey McNeil</w:t>
            </w:r>
            <w:r>
              <w:rPr>
                <w:rFonts w:ascii="Arial" w:cs="Arial" w:eastAsia="Arial" w:hAnsi="Arial"/>
                <w:sz w:val="20"/>
                <w:szCs w:val="20"/>
                <w:b w:val="1"/>
                <w:bCs w:val="1"/>
                <w:color w:val="auto"/>
                <w:vertAlign w:val="superscript"/>
              </w:rPr>
              <w:t>(2)</w:t>
            </w:r>
          </w:p>
        </w:tc>
        <w:tc>
          <w:tcPr>
            <w:tcW w:w="2500" w:type="dxa"/>
            <w:vAlign w:val="bottom"/>
          </w:tcPr>
          <w:p>
            <w:pPr>
              <w:jc w:val="center"/>
              <w:spacing w:after="0"/>
              <w:rPr>
                <w:sz w:val="20"/>
                <w:szCs w:val="20"/>
                <w:color w:val="auto"/>
              </w:rPr>
            </w:pPr>
            <w:r>
              <w:rPr>
                <w:rFonts w:ascii="Arial" w:cs="Arial" w:eastAsia="Arial" w:hAnsi="Arial"/>
                <w:sz w:val="16"/>
                <w:szCs w:val="16"/>
                <w:color w:val="auto"/>
              </w:rPr>
              <w:t>75</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ind w:left="220" w:hanging="215"/>
        <w:spacing w:after="0"/>
        <w:tabs>
          <w:tab w:leader="none" w:pos="220" w:val="left"/>
        </w:tabs>
        <w:numPr>
          <w:ilvl w:val="0"/>
          <w:numId w:val="32"/>
        </w:numPr>
        <w:rPr>
          <w:rFonts w:ascii="Arial" w:cs="Arial" w:eastAsia="Arial" w:hAnsi="Arial"/>
          <w:sz w:val="14"/>
          <w:szCs w:val="14"/>
          <w:color w:val="7D7D7D"/>
        </w:rPr>
      </w:pPr>
      <w:r>
        <w:rPr>
          <w:rFonts w:ascii="Arial" w:cs="Arial" w:eastAsia="Arial" w:hAnsi="Arial"/>
          <w:sz w:val="14"/>
          <w:szCs w:val="14"/>
          <w:color w:val="7D7D7D"/>
        </w:rPr>
        <w:t>Target numbers are annual and are payable in four quarterly installments based on performance of the goals.</w:t>
      </w:r>
    </w:p>
    <w:p>
      <w:pPr>
        <w:spacing w:after="0" w:line="61" w:lineRule="exact"/>
        <w:rPr>
          <w:sz w:val="20"/>
          <w:szCs w:val="20"/>
          <w:color w:val="auto"/>
        </w:rPr>
      </w:pPr>
    </w:p>
    <w:p>
      <w:pPr>
        <w:ind w:left="240" w:right="20" w:hanging="235"/>
        <w:spacing w:after="0" w:line="287" w:lineRule="auto"/>
        <w:tabs>
          <w:tab w:leader="none" w:pos="226" w:val="left"/>
        </w:tabs>
        <w:numPr>
          <w:ilvl w:val="0"/>
          <w:numId w:val="33"/>
        </w:numPr>
        <w:rPr>
          <w:rFonts w:ascii="Arial" w:cs="Arial" w:eastAsia="Arial" w:hAnsi="Arial"/>
          <w:sz w:val="14"/>
          <w:szCs w:val="14"/>
          <w:color w:val="7D7D7D"/>
        </w:rPr>
      </w:pPr>
      <w:r>
        <w:rPr>
          <w:rFonts w:ascii="Arial" w:cs="Arial" w:eastAsia="Arial" w:hAnsi="Arial"/>
          <w:sz w:val="14"/>
          <w:szCs w:val="14"/>
          <w:color w:val="7D7D7D"/>
        </w:rPr>
        <w:t>Mr. McNeil stepped down as our Executive Vice President and COO effective on March 31, 2023. Mr. McNeil’s bonus target as a percentage of his base salary was 75% at the time of his transition to Chief Advisor and was not changed. Mr. McNeil’s base salary level was reduced by 50% at the time of his transition to Chief Advisor.</w:t>
      </w:r>
    </w:p>
    <w:p>
      <w:pPr>
        <w:spacing w:after="0" w:line="226"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The Compensation Committee retained final discretion over and approved all payments under the 2023 Bonus Program on a quarterly basis. The Compensation Committee could, in its discretion, award all or a portion of earned 2023 bonuses to the NEOs and other employees in the form of fully vested RSUs. No bonuses were paid in the form of fully vested RSUs under the 2023 Bonus Program.</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Performance Measurements — Three Factors</w:t>
      </w:r>
    </w:p>
    <w:p>
      <w:pPr>
        <w:spacing w:after="0" w:line="125"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The actual bonus amount that each NEO could earn in a given quarter was determined by taking the NEO’s eligible salary on a quarterly basis, multiplied by his or her Bonus Percentage, and subsequently multiplying that amount by three performance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36765" cy="173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765" cy="173990"/>
                    </a:xfrm>
                    <a:prstGeom prst="rect">
                      <a:avLst/>
                    </a:prstGeom>
                    <a:noFill/>
                  </pic:spPr>
                </pic:pic>
              </a:graphicData>
            </a:graphic>
          </wp:anchor>
        </w:drawing>
      </w:r>
    </w:p>
    <w:p>
      <w:pPr>
        <w:spacing w:after="0" w:line="136" w:lineRule="exact"/>
        <w:rPr>
          <w:sz w:val="20"/>
          <w:szCs w:val="20"/>
          <w:color w:val="auto"/>
        </w:rPr>
      </w:pPr>
    </w:p>
    <w:p>
      <w:pPr>
        <w:ind w:left="3400"/>
        <w:spacing w:after="0"/>
        <w:tabs>
          <w:tab w:leader="none" w:pos="8020" w:val="left"/>
        </w:tabs>
        <w:rPr>
          <w:sz w:val="20"/>
          <w:szCs w:val="20"/>
          <w:color w:val="auto"/>
        </w:rPr>
      </w:pPr>
      <w:r>
        <w:rPr>
          <w:rFonts w:ascii="Arial" w:cs="Arial" w:eastAsia="Arial" w:hAnsi="Arial"/>
          <w:sz w:val="14"/>
          <w:szCs w:val="14"/>
          <w:b w:val="1"/>
          <w:bCs w:val="1"/>
          <w:color w:val="FFFFFF"/>
        </w:rPr>
        <w:t>Performance Factor Range</w:t>
      </w:r>
      <w:r>
        <w:rPr>
          <w:sz w:val="20"/>
          <w:szCs w:val="20"/>
          <w:color w:val="auto"/>
        </w:rPr>
        <w:tab/>
      </w:r>
      <w:r>
        <w:rPr>
          <w:rFonts w:ascii="Arial" w:cs="Arial" w:eastAsia="Arial" w:hAnsi="Arial"/>
          <w:sz w:val="13"/>
          <w:szCs w:val="13"/>
          <w:b w:val="1"/>
          <w:bCs w:val="1"/>
          <w:color w:val="FFFFF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45020" cy="17595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5020" cy="1759585"/>
                    </a:xfrm>
                    <a:prstGeom prst="rect">
                      <a:avLst/>
                    </a:prstGeom>
                    <a:noFill/>
                  </pic:spPr>
                </pic:pic>
              </a:graphicData>
            </a:graphic>
          </wp:anchor>
        </w:drawing>
      </w:r>
    </w:p>
    <w:p>
      <w:pPr>
        <w:sectPr>
          <w:pgSz w:w="11900" w:h="16838" w:orient="portrait"/>
          <w:cols w:equalWidth="0" w:num="1">
            <w:col w:w="11260"/>
          </w:cols>
          <w:pgMar w:left="320" w:top="754" w:right="319" w:bottom="1440" w:gutter="0" w:footer="0" w:header="0"/>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20" w:type="dxa"/>
            <w:vAlign w:val="bottom"/>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Company Performance Factor</w:t>
            </w: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3120" w:type="dxa"/>
            <w:vAlign w:val="bottom"/>
            <w:vMerge w:val="continue"/>
            <w:shd w:val="clear" w:color="auto" w:fill="FAF6EF"/>
          </w:tcPr>
          <w:p>
            <w:pPr>
              <w:spacing w:after="0"/>
              <w:rPr>
                <w:sz w:val="22"/>
                <w:szCs w:val="22"/>
                <w:color w:val="auto"/>
              </w:rPr>
            </w:pPr>
          </w:p>
        </w:tc>
        <w:tc>
          <w:tcPr>
            <w:tcW w:w="2340" w:type="dxa"/>
            <w:vAlign w:val="bottom"/>
            <w:shd w:val="clear" w:color="auto" w:fill="FAF6EF"/>
          </w:tcPr>
          <w:p>
            <w:pPr>
              <w:jc w:val="right"/>
              <w:ind w:right="862"/>
              <w:spacing w:after="0"/>
              <w:rPr>
                <w:sz w:val="20"/>
                <w:szCs w:val="20"/>
                <w:color w:val="auto"/>
              </w:rPr>
            </w:pPr>
            <w:r>
              <w:rPr>
                <w:rFonts w:ascii="Arial" w:cs="Arial" w:eastAsia="Arial" w:hAnsi="Arial"/>
                <w:sz w:val="16"/>
                <w:szCs w:val="16"/>
                <w:color w:val="auto"/>
              </w:rPr>
              <w:t>0 - 1.0</w:t>
            </w:r>
          </w:p>
        </w:tc>
        <w:tc>
          <w:tcPr>
            <w:tcW w:w="0" w:type="dxa"/>
            <w:vAlign w:val="bottom"/>
          </w:tcPr>
          <w:p>
            <w:pPr>
              <w:spacing w:after="0"/>
              <w:rPr>
                <w:sz w:val="1"/>
                <w:szCs w:val="1"/>
                <w:color w:val="auto"/>
              </w:rPr>
            </w:pPr>
          </w:p>
        </w:tc>
      </w:tr>
      <w:tr>
        <w:trPr>
          <w:trHeight w:val="177"/>
        </w:trPr>
        <w:tc>
          <w:tcPr>
            <w:tcW w:w="3120" w:type="dxa"/>
            <w:vAlign w:val="bottom"/>
            <w:shd w:val="clear" w:color="auto" w:fill="FAF6EF"/>
          </w:tcPr>
          <w:p>
            <w:pPr>
              <w:spacing w:after="0"/>
              <w:rPr>
                <w:sz w:val="15"/>
                <w:szCs w:val="15"/>
                <w:color w:val="auto"/>
              </w:rPr>
            </w:pPr>
          </w:p>
        </w:tc>
        <w:tc>
          <w:tcPr>
            <w:tcW w:w="2340" w:type="dxa"/>
            <w:vAlign w:val="bottom"/>
            <w:shd w:val="clear" w:color="auto" w:fill="FAF6EF"/>
          </w:tcPr>
          <w:p>
            <w:pPr>
              <w:spacing w:after="0"/>
              <w:rPr>
                <w:sz w:val="15"/>
                <w:szCs w:val="15"/>
                <w:color w:val="auto"/>
              </w:rPr>
            </w:pPr>
          </w:p>
        </w:tc>
        <w:tc>
          <w:tcPr>
            <w:tcW w:w="0" w:type="dxa"/>
            <w:vAlign w:val="bottom"/>
          </w:tcPr>
          <w:p>
            <w:pPr>
              <w:spacing w:after="0"/>
              <w:rPr>
                <w:sz w:val="1"/>
                <w:szCs w:val="1"/>
                <w:color w:val="auto"/>
              </w:rPr>
            </w:pPr>
          </w:p>
        </w:tc>
      </w:tr>
      <w:tr>
        <w:trPr>
          <w:trHeight w:val="581"/>
        </w:trPr>
        <w:tc>
          <w:tcPr>
            <w:tcW w:w="3120" w:type="dxa"/>
            <w:vAlign w:val="bottom"/>
          </w:tcPr>
          <w:p>
            <w:pPr>
              <w:ind w:left="120"/>
              <w:spacing w:after="0"/>
              <w:rPr>
                <w:sz w:val="20"/>
                <w:szCs w:val="20"/>
                <w:color w:val="auto"/>
              </w:rPr>
            </w:pPr>
            <w:r>
              <w:rPr>
                <w:rFonts w:ascii="Arial" w:cs="Arial" w:eastAsia="Arial" w:hAnsi="Arial"/>
                <w:sz w:val="16"/>
                <w:szCs w:val="16"/>
                <w:b w:val="1"/>
                <w:bCs w:val="1"/>
                <w:color w:val="auto"/>
              </w:rPr>
              <w:t>Funding Factor</w:t>
            </w:r>
          </w:p>
        </w:tc>
        <w:tc>
          <w:tcPr>
            <w:tcW w:w="2340" w:type="dxa"/>
            <w:vAlign w:val="bottom"/>
          </w:tcPr>
          <w:p>
            <w:pPr>
              <w:jc w:val="right"/>
              <w:ind w:right="862"/>
              <w:spacing w:after="0"/>
              <w:rPr>
                <w:sz w:val="20"/>
                <w:szCs w:val="20"/>
                <w:color w:val="auto"/>
              </w:rPr>
            </w:pPr>
            <w:r>
              <w:rPr>
                <w:rFonts w:ascii="Arial" w:cs="Arial" w:eastAsia="Arial" w:hAnsi="Arial"/>
                <w:sz w:val="16"/>
                <w:szCs w:val="16"/>
                <w:color w:val="auto"/>
              </w:rPr>
              <w:t>0 - 1.5</w:t>
            </w:r>
          </w:p>
        </w:tc>
        <w:tc>
          <w:tcPr>
            <w:tcW w:w="0" w:type="dxa"/>
            <w:vAlign w:val="bottom"/>
          </w:tcPr>
          <w:p>
            <w:pPr>
              <w:spacing w:after="0"/>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803"/>
        </w:trPr>
        <w:tc>
          <w:tcPr>
            <w:tcW w:w="3120" w:type="dxa"/>
            <w:vAlign w:val="bottom"/>
            <w:shd w:val="clear" w:color="auto" w:fill="FAF6EF"/>
          </w:tcPr>
          <w:p>
            <w:pPr>
              <w:ind w:left="120"/>
              <w:spacing w:after="0"/>
              <w:rPr>
                <w:sz w:val="20"/>
                <w:szCs w:val="20"/>
                <w:color w:val="auto"/>
              </w:rPr>
            </w:pPr>
            <w:r>
              <w:rPr>
                <w:rFonts w:ascii="Arial" w:cs="Arial" w:eastAsia="Arial" w:hAnsi="Arial"/>
                <w:sz w:val="16"/>
                <w:szCs w:val="16"/>
                <w:b w:val="1"/>
                <w:bCs w:val="1"/>
                <w:color w:val="auto"/>
              </w:rPr>
              <w:t>Individual Performance Factor</w:t>
            </w:r>
          </w:p>
        </w:tc>
        <w:tc>
          <w:tcPr>
            <w:tcW w:w="1380" w:type="dxa"/>
            <w:vAlign w:val="bottom"/>
          </w:tcPr>
          <w:p>
            <w:pPr>
              <w:jc w:val="right"/>
              <w:spacing w:after="0"/>
              <w:rPr>
                <w:sz w:val="20"/>
                <w:szCs w:val="20"/>
                <w:color w:val="auto"/>
              </w:rPr>
            </w:pPr>
            <w:r>
              <w:rPr>
                <w:rFonts w:ascii="Arial" w:cs="Arial" w:eastAsia="Arial" w:hAnsi="Arial"/>
                <w:sz w:val="16"/>
                <w:szCs w:val="16"/>
                <w:color w:val="auto"/>
              </w:rPr>
              <w:t>0 -1.2</w:t>
            </w:r>
          </w:p>
        </w:tc>
      </w:tr>
      <w:tr>
        <w:trPr>
          <w:trHeight w:val="439"/>
        </w:trPr>
        <w:tc>
          <w:tcPr>
            <w:tcW w:w="3120" w:type="dxa"/>
            <w:vAlign w:val="bottom"/>
            <w:shd w:val="clear" w:color="auto" w:fill="FAF6EF"/>
          </w:tcPr>
          <w:p>
            <w:pPr>
              <w:spacing w:after="0"/>
              <w:rPr>
                <w:sz w:val="24"/>
                <w:szCs w:val="24"/>
                <w:color w:val="auto"/>
              </w:rPr>
            </w:pPr>
          </w:p>
        </w:tc>
        <w:tc>
          <w:tcPr>
            <w:tcW w:w="1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level of achievement of Quarterly CEO SMART Goals</w:t>
      </w:r>
    </w:p>
    <w:p>
      <w:pPr>
        <w:spacing w:after="0" w:line="39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amount of actual Company quarterly profit measured against the applicable quarterly profit target that was established in January 2023. Quarterly targets that were set in January were not changed during the year</w:t>
      </w:r>
    </w:p>
    <w:p>
      <w:pPr>
        <w:spacing w:after="0" w:line="35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Individual performance measured against quarterly targets set at the beginning of each quarter and approved by the CEO in the case of the NEOs other than the CEO (the “Quarterly Individual Goals”)</w:t>
      </w:r>
    </w:p>
    <w:p>
      <w:pPr>
        <w:spacing w:after="0" w:line="14"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For the CEO, the individual performance factor reflects the level of achievement of the Quarterly CEO SMART Goals</w:t>
      </w:r>
    </w:p>
    <w:p>
      <w:pPr>
        <w:spacing w:after="0" w:line="260" w:lineRule="exact"/>
        <w:rPr>
          <w:sz w:val="20"/>
          <w:szCs w:val="20"/>
          <w:color w:val="auto"/>
        </w:rPr>
      </w:pPr>
    </w:p>
    <w:p>
      <w:pPr>
        <w:sectPr>
          <w:pgSz w:w="11900" w:h="16838" w:orient="portrait"/>
          <w:cols w:equalWidth="0" w:num="2">
            <w:col w:w="5460" w:space="120"/>
            <w:col w:w="5680"/>
          </w:cols>
          <w:pgMar w:left="320" w:top="75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54" w:right="3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b w:val="1"/>
          <w:bCs w:val="1"/>
          <w:i w:val="1"/>
          <w:iCs w:val="1"/>
          <w:color w:val="auto"/>
        </w:rPr>
        <w:t>Company Performance Factor</w:t>
      </w:r>
    </w:p>
    <w:p>
      <w:pPr>
        <w:spacing w:after="0" w:line="19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Performance Factor was based on the level of achievement of the Quarterly CEO SMART Goals. The Quarterly CEO SMART Goals were all forward looking. After the end of each quarter, the Compensation Committee scored the Quarterly CEO SMART Goals to determine the Company Performance Factor according to the following:</w:t>
      </w:r>
    </w:p>
    <w:p>
      <w:pPr>
        <w:spacing w:after="0" w:line="132" w:lineRule="exact"/>
        <w:rPr>
          <w:sz w:val="20"/>
          <w:szCs w:val="20"/>
          <w:color w:val="auto"/>
        </w:rPr>
      </w:pPr>
    </w:p>
    <w:p>
      <w:pPr>
        <w:ind w:left="300" w:hanging="139"/>
        <w:spacing w:after="0"/>
        <w:tabs>
          <w:tab w:leader="none" w:pos="300" w:val="left"/>
        </w:tabs>
        <w:numPr>
          <w:ilvl w:val="0"/>
          <w:numId w:val="34"/>
        </w:numPr>
        <w:rPr>
          <w:rFonts w:ascii="Arial" w:cs="Arial" w:eastAsia="Arial" w:hAnsi="Arial"/>
          <w:sz w:val="12"/>
          <w:szCs w:val="12"/>
          <w:color w:val="auto"/>
        </w:rPr>
      </w:pPr>
      <w:r>
        <w:rPr>
          <w:rFonts w:ascii="Arial" w:cs="Arial" w:eastAsia="Arial" w:hAnsi="Arial"/>
          <w:sz w:val="16"/>
          <w:szCs w:val="16"/>
          <w:color w:val="auto"/>
        </w:rPr>
        <w:t>0 for achievement of less than 65% of the Quarterly CEO SMART Goals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34"/>
        </w:numPr>
        <w:rPr>
          <w:rFonts w:ascii="Arial" w:cs="Arial" w:eastAsia="Arial" w:hAnsi="Arial"/>
          <w:sz w:val="12"/>
          <w:szCs w:val="12"/>
          <w:color w:val="auto"/>
        </w:rPr>
      </w:pPr>
      <w:r>
        <w:rPr>
          <w:rFonts w:ascii="Arial" w:cs="Arial" w:eastAsia="Arial" w:hAnsi="Arial"/>
          <w:sz w:val="16"/>
          <w:szCs w:val="16"/>
          <w:color w:val="auto"/>
        </w:rPr>
        <w:t>0.5 for achievement between 65% and 80% of the Quarterly CEO SMART Goals</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34"/>
        </w:numPr>
        <w:rPr>
          <w:rFonts w:ascii="Arial" w:cs="Arial" w:eastAsia="Arial" w:hAnsi="Arial"/>
          <w:sz w:val="12"/>
          <w:szCs w:val="12"/>
          <w:color w:val="auto"/>
        </w:rPr>
      </w:pPr>
      <w:r>
        <w:rPr>
          <w:rFonts w:ascii="Arial" w:cs="Arial" w:eastAsia="Arial" w:hAnsi="Arial"/>
          <w:sz w:val="16"/>
          <w:szCs w:val="16"/>
          <w:color w:val="auto"/>
        </w:rPr>
        <w:t>1.0 for achievement greater than 80% of the Quarterly CEO SMART Goals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Under the program, quarterly bonuses would not be paid if the Quarterly CEO SMART Goals achievement was less than 65% for the quarter</w:t>
      </w:r>
      <w:r>
        <w:rPr>
          <w:rFonts w:ascii="Arial" w:cs="Arial" w:eastAsia="Arial" w:hAnsi="Arial"/>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Funding Factor</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Funding Factor for each quarter could range from 0 to 1.5, depending upon our quarterly profit before taxes before bonus (“PBB”), which was defined as our quarterly profit before taxes measured on a non-GAAP basis excluding projected bonus. The quarterly PBB targets that would determine the 2023 Funding Factor for each quarter were forward looking and approved by the Board in January 2023. The quarterly PBB targets did not change during the year. The actual Funding Factor for a quarter was determined using linear interpolation between 0 and 1.5 based on the ratio of actual PBB to the targeted PBB, with the Funding Factor for quarterly bonuses being 1.0 if actual quarterly PBB equaled targeted PBB. Actual PBB that was more than targeted PBB was capped at 1.5. No quarterly bonuses would be funded or payable if PBB fell below $500,000 for the quarter. In determining PBB, we excluded, among others, the following items: stock-based compensation expense, acquisition related expenses and amortization, and non-cash interest expense. After the end of each quarter, the Compensation Committee calculated the Funding Factor based upon the ratio of actual PBB to targeted PBB.</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Individual Performance Factor</w:t>
      </w:r>
    </w:p>
    <w:p>
      <w:pPr>
        <w:spacing w:after="0" w:line="19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Individual Performance Factor for the CEO was based on the achievement of Quarterly CEO SMART Goals; and for our other NEOs, it was based on the achievement of Quarterly Individual Goals (together with the Quarterly CEO SMART Goals, the “Quarterly Goals”). As noted above, the Quarterly CEO SMART Goals were approved by the Board in January 2023. The Quarterly Individual Goals for our NEOs (other than the CEO) were approved by the CEO at the beginning of each quarter, and were SMART goals, forward looking, and were not altered during the quarter.</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Individual Performance Factor for a quarter could be between 0 and 1.2 and was determined by taking the actual score for achievement of the Quarterly Goals, including 20 points for stretch goals, and dividing by 100. The line-item goals in the Quarterly Goals were either binary (meaning achieved or not) or based upon specific targets defined for 100% achievement and 0% achievement (“Scaled Goals”). For binary goals, all points for the goal were earned if the goal was achieved; all points were lost if the goal was not achieved. For the Scaled Goals, if the 100% target was achieved, all points assigned to that goal were earned, and if less than the 100% target was achieved, linear interpolation between the two targets would determine the actual number of points earned. After the end of each quarter, the Compensation Committee approved the Individual Performance Factor for the CEO based on the scores for the CEO Quarterly SMART Goals, and for the other NEOs, based on the scores for the Quarterly Individual Goals.</w:t>
      </w:r>
    </w:p>
    <w:p>
      <w:pPr>
        <w:spacing w:after="0" w:line="137"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For our NEOs other than the CEO, some of the key individual goals for 2023 are shown in the table below and were specifically tailored to the functions led by each NEO and aligned to the achievement of our overall annual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36765" cy="2489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765" cy="24892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156" w:lineRule="exact"/>
        <w:rPr>
          <w:sz w:val="20"/>
          <w:szCs w:val="20"/>
          <w:color w:val="auto"/>
        </w:rPr>
      </w:pPr>
    </w:p>
    <w:p>
      <w:pPr>
        <w:ind w:left="100"/>
        <w:spacing w:after="0" w:line="280" w:lineRule="auto"/>
        <w:rPr>
          <w:sz w:val="20"/>
          <w:szCs w:val="20"/>
          <w:color w:val="auto"/>
        </w:rPr>
      </w:pPr>
      <w:r>
        <w:rPr>
          <w:rFonts w:ascii="Arial" w:cs="Arial" w:eastAsia="Arial" w:hAnsi="Arial"/>
          <w:sz w:val="14"/>
          <w:szCs w:val="14"/>
          <w:b w:val="1"/>
          <w:bCs w:val="1"/>
          <w:color w:val="FFFFFF"/>
        </w:rPr>
        <w:t>Named Executive Officer</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Mandy Yang</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David Ranhoff</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Jeffrey McNeil</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Individual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86360</wp:posOffset>
            </wp:positionV>
            <wp:extent cx="7145020" cy="6972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5020" cy="697230"/>
                    </a:xfrm>
                    <a:prstGeom prst="rect">
                      <a:avLst/>
                    </a:prstGeom>
                    <a:noFill/>
                  </pic:spPr>
                </pic:pic>
              </a:graphicData>
            </a:graphic>
          </wp:anchor>
        </w:drawing>
      </w:r>
    </w:p>
    <w:p>
      <w:pPr>
        <w:spacing w:after="0" w:line="130" w:lineRule="exact"/>
        <w:rPr>
          <w:sz w:val="20"/>
          <w:szCs w:val="20"/>
          <w:color w:val="auto"/>
        </w:rPr>
      </w:pPr>
    </w:p>
    <w:p>
      <w:pPr>
        <w:ind w:right="380"/>
        <w:spacing w:after="0" w:line="267" w:lineRule="auto"/>
        <w:rPr>
          <w:sz w:val="20"/>
          <w:szCs w:val="20"/>
          <w:color w:val="auto"/>
        </w:rPr>
      </w:pPr>
      <w:r>
        <w:rPr>
          <w:rFonts w:ascii="Arial" w:cs="Arial" w:eastAsia="Arial" w:hAnsi="Arial"/>
          <w:sz w:val="16"/>
          <w:szCs w:val="16"/>
          <w:color w:val="auto"/>
        </w:rPr>
        <w:t>Growing revenue; improving gross margin, operating expenses and EPS; improving forecast process; transforming distributor ease of doing business; optimizing tax strategy; and improving finance team eNPS</w:t>
      </w:r>
    </w:p>
    <w:p>
      <w:pPr>
        <w:spacing w:after="0" w:line="22"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Growing revenue; improving gross margin and operating expenses; growing revenue in new markets; implementing go to market of new products; driving new businesses; improving NPS with our distributors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Growing revenue; driving critical product initiatives; launching products in new markets; delivering cost savings on key products</w:t>
      </w:r>
    </w:p>
    <w:p>
      <w:pPr>
        <w:spacing w:after="0" w:line="200" w:lineRule="exact"/>
        <w:rPr>
          <w:sz w:val="20"/>
          <w:szCs w:val="20"/>
          <w:color w:val="auto"/>
        </w:rPr>
      </w:pPr>
    </w:p>
    <w:p>
      <w:pPr>
        <w:sectPr>
          <w:pgSz w:w="11900" w:h="16838" w:orient="portrait"/>
          <w:cols w:equalWidth="0" w:num="2">
            <w:col w:w="1260" w:space="360"/>
            <w:col w:w="9620"/>
          </w:cols>
          <w:pgMar w:left="320" w:top="768" w:right="339" w:bottom="1440" w:gutter="0" w:footer="0" w:header="0"/>
          <w:type w:val="continuous"/>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21"/>
          <w:szCs w:val="21"/>
          <w:b w:val="1"/>
          <w:bCs w:val="1"/>
          <w:color w:val="auto"/>
        </w:rPr>
        <w:t>2023 Performance Cash Bonus — Actual Achievement by our NEOs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Company Performance Factor</w:t>
      </w:r>
    </w:p>
    <w:p>
      <w:pPr>
        <w:spacing w:after="0" w:line="12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Compensation Committee reviewed our performance against the predetermined Quarterly CEO SMART Goals and determined that we had achieved our CEO targets as set forth in the table below. This resulted in a Company Performance Factor of 1.0 for the first and second quarters, 0.5 for the third quarter and zero for the fourth quarter.</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060" w:type="dxa"/>
            <w:vAlign w:val="bottom"/>
            <w:tcBorders>
              <w:left w:val="single" w:sz="8" w:color="7D7D7D"/>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Category of Quarterly CEO SMART Goals</w:t>
            </w:r>
          </w:p>
        </w:tc>
        <w:tc>
          <w:tcPr>
            <w:tcW w:w="8180" w:type="dxa"/>
            <w:vAlign w:val="bottom"/>
            <w:tcBorders>
              <w:left w:val="single" w:sz="8" w:color="3C3C3C"/>
            </w:tcBorders>
            <w:gridSpan w:val="4"/>
            <w:vMerge w:val="restart"/>
            <w:shd w:val="clear" w:color="auto" w:fill="3C3C3C"/>
          </w:tcPr>
          <w:p>
            <w:pPr>
              <w:spacing w:after="0"/>
              <w:rPr>
                <w:sz w:val="20"/>
                <w:szCs w:val="20"/>
                <w:color w:val="auto"/>
              </w:rPr>
            </w:pPr>
            <w:r>
              <w:rPr>
                <w:rFonts w:ascii="Arial" w:cs="Arial" w:eastAsia="Arial" w:hAnsi="Arial"/>
                <w:sz w:val="14"/>
                <w:szCs w:val="14"/>
                <w:b w:val="1"/>
                <w:bCs w:val="1"/>
                <w:color w:val="FFFFFF"/>
              </w:rPr>
              <w:t>Actual Points Achieved for Q1 Actual Points Achieved for Q2 Actual Points Achieved for Q3 Actual Points Achieved for Q4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3060" w:type="dxa"/>
            <w:vAlign w:val="bottom"/>
            <w:tcBorders>
              <w:left w:val="single" w:sz="8" w:color="7D7D7D"/>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(Max Points)</w:t>
            </w:r>
          </w:p>
        </w:tc>
        <w:tc>
          <w:tcPr>
            <w:tcW w:w="8180" w:type="dxa"/>
            <w:vAlign w:val="bottom"/>
            <w:tcBorders>
              <w:left w:val="single" w:sz="8" w:color="3C3C3C"/>
            </w:tcBorders>
            <w:gridSpan w:val="4"/>
            <w:vMerge w:val="continue"/>
            <w:shd w:val="clear" w:color="auto" w:fill="3C3C3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060" w:type="dxa"/>
            <w:vAlign w:val="bottom"/>
            <w:tcBorders>
              <w:left w:val="single" w:sz="8" w:color="7D7D7D"/>
              <w:right w:val="single" w:sz="8" w:color="3C3C3C"/>
            </w:tcBorders>
            <w:vMerge w:val="continue"/>
            <w:shd w:val="clear" w:color="auto" w:fill="3C3C3C"/>
          </w:tcPr>
          <w:p>
            <w:pPr>
              <w:spacing w:after="0"/>
              <w:rPr>
                <w:sz w:val="9"/>
                <w:szCs w:val="9"/>
                <w:color w:val="auto"/>
              </w:rPr>
            </w:pPr>
          </w:p>
        </w:tc>
        <w:tc>
          <w:tcPr>
            <w:tcW w:w="2060" w:type="dxa"/>
            <w:vAlign w:val="bottom"/>
            <w:tcBorders>
              <w:left w:val="single" w:sz="8" w:color="3C3C3C"/>
              <w:right w:val="single" w:sz="8" w:color="3C3C3C"/>
            </w:tcBorders>
            <w:shd w:val="clear" w:color="auto" w:fill="3C3C3C"/>
          </w:tcPr>
          <w:p>
            <w:pPr>
              <w:spacing w:after="0"/>
              <w:rPr>
                <w:sz w:val="9"/>
                <w:szCs w:val="9"/>
                <w:color w:val="auto"/>
              </w:rPr>
            </w:pPr>
          </w:p>
        </w:tc>
        <w:tc>
          <w:tcPr>
            <w:tcW w:w="2040" w:type="dxa"/>
            <w:vAlign w:val="bottom"/>
            <w:tcBorders>
              <w:right w:val="single" w:sz="8" w:color="3C3C3C"/>
            </w:tcBorders>
            <w:shd w:val="clear" w:color="auto" w:fill="3C3C3C"/>
          </w:tcPr>
          <w:p>
            <w:pPr>
              <w:spacing w:after="0"/>
              <w:rPr>
                <w:sz w:val="9"/>
                <w:szCs w:val="9"/>
                <w:color w:val="auto"/>
              </w:rPr>
            </w:pPr>
          </w:p>
        </w:tc>
        <w:tc>
          <w:tcPr>
            <w:tcW w:w="2060" w:type="dxa"/>
            <w:vAlign w:val="bottom"/>
            <w:tcBorders>
              <w:right w:val="single" w:sz="8" w:color="3C3C3C"/>
            </w:tcBorders>
            <w:shd w:val="clear" w:color="auto" w:fill="3C3C3C"/>
          </w:tcPr>
          <w:p>
            <w:pPr>
              <w:spacing w:after="0"/>
              <w:rPr>
                <w:sz w:val="9"/>
                <w:szCs w:val="9"/>
                <w:color w:val="auto"/>
              </w:rPr>
            </w:pPr>
          </w:p>
        </w:tc>
        <w:tc>
          <w:tcPr>
            <w:tcW w:w="2020" w:type="dxa"/>
            <w:vAlign w:val="bottom"/>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30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Grow Revenue (27)</w:t>
            </w:r>
          </w:p>
        </w:tc>
        <w:tc>
          <w:tcPr>
            <w:tcW w:w="2060" w:type="dxa"/>
            <w:vAlign w:val="bottom"/>
            <w:tcBorders>
              <w:left w:val="single" w:sz="8" w:color="7D7D7D"/>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15.93</w:t>
            </w:r>
          </w:p>
        </w:tc>
        <w:tc>
          <w:tcPr>
            <w:tcW w:w="20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13.11</w:t>
            </w:r>
          </w:p>
        </w:tc>
        <w:tc>
          <w:tcPr>
            <w:tcW w:w="20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2.92</w:t>
            </w:r>
          </w:p>
        </w:tc>
        <w:tc>
          <w:tcPr>
            <w:tcW w:w="20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Profit Before Taxes (19)</w:t>
            </w:r>
          </w:p>
        </w:tc>
        <w:tc>
          <w:tcPr>
            <w:tcW w:w="2060" w:type="dxa"/>
            <w:vAlign w:val="bottom"/>
            <w:tcBorders>
              <w:left w:val="single" w:sz="8" w:color="7D7D7D"/>
              <w:right w:val="single" w:sz="8" w:color="7D7D7D"/>
            </w:tcBorders>
          </w:tcPr>
          <w:p>
            <w:pPr>
              <w:jc w:val="center"/>
              <w:spacing w:after="0"/>
              <w:rPr>
                <w:sz w:val="20"/>
                <w:szCs w:val="20"/>
                <w:color w:val="auto"/>
              </w:rPr>
            </w:pPr>
            <w:r>
              <w:rPr>
                <w:rFonts w:ascii="Arial" w:cs="Arial" w:eastAsia="Arial" w:hAnsi="Arial"/>
                <w:sz w:val="16"/>
                <w:szCs w:val="16"/>
                <w:color w:val="auto"/>
                <w:w w:val="94"/>
              </w:rPr>
              <w:t>19.00</w:t>
            </w:r>
          </w:p>
        </w:tc>
        <w:tc>
          <w:tcPr>
            <w:tcW w:w="20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19.00</w:t>
            </w:r>
          </w:p>
        </w:tc>
        <w:tc>
          <w:tcPr>
            <w:tcW w:w="20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4"/>
              </w:rPr>
              <w:t>15.42</w:t>
            </w:r>
          </w:p>
        </w:tc>
        <w:tc>
          <w:tcPr>
            <w:tcW w:w="2020" w:type="dxa"/>
            <w:vAlign w:val="bottom"/>
          </w:tcPr>
          <w:p>
            <w:pPr>
              <w:jc w:val="center"/>
              <w:spacing w:after="0"/>
              <w:rPr>
                <w:sz w:val="20"/>
                <w:szCs w:val="20"/>
                <w:color w:val="auto"/>
              </w:rPr>
            </w:pPr>
            <w:r>
              <w:rPr>
                <w:rFonts w:ascii="Arial" w:cs="Arial" w:eastAsia="Arial" w:hAnsi="Arial"/>
                <w:sz w:val="16"/>
                <w:szCs w:val="16"/>
                <w:color w:val="auto"/>
                <w:w w:val="96"/>
              </w:rPr>
              <w:t>7.87</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New Products (20)</w:t>
            </w:r>
          </w:p>
        </w:tc>
        <w:tc>
          <w:tcPr>
            <w:tcW w:w="2060" w:type="dxa"/>
            <w:vAlign w:val="bottom"/>
            <w:tcBorders>
              <w:left w:val="single" w:sz="8" w:color="7D7D7D"/>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16.84</w:t>
            </w:r>
          </w:p>
        </w:tc>
        <w:tc>
          <w:tcPr>
            <w:tcW w:w="20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18.13</w:t>
            </w:r>
          </w:p>
        </w:tc>
        <w:tc>
          <w:tcPr>
            <w:tcW w:w="20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16.02</w:t>
            </w:r>
          </w:p>
        </w:tc>
        <w:tc>
          <w:tcPr>
            <w:tcW w:w="20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13.00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Innovation (3)</w:t>
            </w:r>
          </w:p>
        </w:tc>
        <w:tc>
          <w:tcPr>
            <w:tcW w:w="2060" w:type="dxa"/>
            <w:vAlign w:val="bottom"/>
            <w:tcBorders>
              <w:left w:val="single" w:sz="8" w:color="7D7D7D"/>
              <w:right w:val="single" w:sz="8" w:color="7D7D7D"/>
            </w:tcBorders>
          </w:tcPr>
          <w:p>
            <w:pPr>
              <w:jc w:val="center"/>
              <w:spacing w:after="0"/>
              <w:rPr>
                <w:sz w:val="20"/>
                <w:szCs w:val="20"/>
                <w:color w:val="auto"/>
              </w:rPr>
            </w:pPr>
            <w:r>
              <w:rPr>
                <w:rFonts w:ascii="Arial" w:cs="Arial" w:eastAsia="Arial" w:hAnsi="Arial"/>
                <w:sz w:val="16"/>
                <w:szCs w:val="16"/>
                <w:color w:val="auto"/>
                <w:w w:val="96"/>
              </w:rPr>
              <w:t>3.00</w:t>
            </w:r>
          </w:p>
        </w:tc>
        <w:tc>
          <w:tcPr>
            <w:tcW w:w="20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1.00</w:t>
            </w:r>
          </w:p>
        </w:tc>
        <w:tc>
          <w:tcPr>
            <w:tcW w:w="20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6"/>
              </w:rPr>
              <w:t>2.00</w:t>
            </w:r>
          </w:p>
        </w:tc>
        <w:tc>
          <w:tcPr>
            <w:tcW w:w="2020" w:type="dxa"/>
            <w:vAlign w:val="bottom"/>
          </w:tcPr>
          <w:p>
            <w:pPr>
              <w:jc w:val="center"/>
              <w:spacing w:after="0"/>
              <w:rPr>
                <w:sz w:val="20"/>
                <w:szCs w:val="20"/>
                <w:color w:val="auto"/>
              </w:rPr>
            </w:pPr>
            <w:r>
              <w:rPr>
                <w:rFonts w:ascii="Arial" w:cs="Arial" w:eastAsia="Arial" w:hAnsi="Arial"/>
                <w:sz w:val="16"/>
                <w:szCs w:val="16"/>
                <w:color w:val="auto"/>
                <w:w w:val="96"/>
              </w:rPr>
              <w:t>1.00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Operations (Including IT) (21)</w:t>
            </w:r>
          </w:p>
        </w:tc>
        <w:tc>
          <w:tcPr>
            <w:tcW w:w="2060" w:type="dxa"/>
            <w:vAlign w:val="bottom"/>
            <w:tcBorders>
              <w:left w:val="single" w:sz="8" w:color="7D7D7D"/>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19.84</w:t>
            </w:r>
          </w:p>
        </w:tc>
        <w:tc>
          <w:tcPr>
            <w:tcW w:w="20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17.88</w:t>
            </w:r>
          </w:p>
        </w:tc>
        <w:tc>
          <w:tcPr>
            <w:tcW w:w="20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15.23</w:t>
            </w:r>
          </w:p>
        </w:tc>
        <w:tc>
          <w:tcPr>
            <w:tcW w:w="20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10.91</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Quality (8)</w:t>
            </w:r>
          </w:p>
        </w:tc>
        <w:tc>
          <w:tcPr>
            <w:tcW w:w="2060" w:type="dxa"/>
            <w:vAlign w:val="bottom"/>
            <w:tcBorders>
              <w:left w:val="single" w:sz="8" w:color="7D7D7D"/>
              <w:right w:val="single" w:sz="8" w:color="7D7D7D"/>
            </w:tcBorders>
          </w:tcPr>
          <w:p>
            <w:pPr>
              <w:jc w:val="center"/>
              <w:spacing w:after="0"/>
              <w:rPr>
                <w:sz w:val="20"/>
                <w:szCs w:val="20"/>
                <w:color w:val="auto"/>
              </w:rPr>
            </w:pPr>
            <w:r>
              <w:rPr>
                <w:rFonts w:ascii="Arial" w:cs="Arial" w:eastAsia="Arial" w:hAnsi="Arial"/>
                <w:sz w:val="16"/>
                <w:szCs w:val="16"/>
                <w:color w:val="auto"/>
                <w:w w:val="96"/>
              </w:rPr>
              <w:t>5.96</w:t>
            </w:r>
          </w:p>
        </w:tc>
        <w:tc>
          <w:tcPr>
            <w:tcW w:w="20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1.75</w:t>
            </w:r>
          </w:p>
        </w:tc>
        <w:tc>
          <w:tcPr>
            <w:tcW w:w="20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6"/>
              </w:rPr>
              <w:t>3.92</w:t>
            </w:r>
          </w:p>
        </w:tc>
        <w:tc>
          <w:tcPr>
            <w:tcW w:w="2020" w:type="dxa"/>
            <w:vAlign w:val="bottom"/>
          </w:tcPr>
          <w:p>
            <w:pPr>
              <w:jc w:val="center"/>
              <w:spacing w:after="0"/>
              <w:rPr>
                <w:sz w:val="20"/>
                <w:szCs w:val="20"/>
                <w:color w:val="auto"/>
              </w:rPr>
            </w:pPr>
            <w:r>
              <w:rPr>
                <w:rFonts w:ascii="Arial" w:cs="Arial" w:eastAsia="Arial" w:hAnsi="Arial"/>
                <w:sz w:val="16"/>
                <w:szCs w:val="16"/>
                <w:color w:val="auto"/>
                <w:w w:val="96"/>
              </w:rPr>
              <w:t>6.74</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Ease Of Doing Business (11)</w:t>
            </w:r>
          </w:p>
        </w:tc>
        <w:tc>
          <w:tcPr>
            <w:tcW w:w="2060" w:type="dxa"/>
            <w:vAlign w:val="bottom"/>
            <w:tcBorders>
              <w:left w:val="single" w:sz="8" w:color="7D7D7D"/>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11.00</w:t>
            </w:r>
          </w:p>
        </w:tc>
        <w:tc>
          <w:tcPr>
            <w:tcW w:w="20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11.00</w:t>
            </w:r>
          </w:p>
        </w:tc>
        <w:tc>
          <w:tcPr>
            <w:tcW w:w="20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10.66</w:t>
            </w:r>
          </w:p>
        </w:tc>
        <w:tc>
          <w:tcPr>
            <w:tcW w:w="20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10.20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Human Resources (5)</w:t>
            </w:r>
          </w:p>
        </w:tc>
        <w:tc>
          <w:tcPr>
            <w:tcW w:w="2060" w:type="dxa"/>
            <w:vAlign w:val="bottom"/>
            <w:tcBorders>
              <w:left w:val="single" w:sz="8" w:color="7D7D7D"/>
              <w:right w:val="single" w:sz="8" w:color="7D7D7D"/>
            </w:tcBorders>
          </w:tcPr>
          <w:p>
            <w:pPr>
              <w:jc w:val="center"/>
              <w:spacing w:after="0"/>
              <w:rPr>
                <w:sz w:val="20"/>
                <w:szCs w:val="20"/>
                <w:color w:val="auto"/>
              </w:rPr>
            </w:pPr>
            <w:r>
              <w:rPr>
                <w:rFonts w:ascii="Arial" w:cs="Arial" w:eastAsia="Arial" w:hAnsi="Arial"/>
                <w:sz w:val="16"/>
                <w:szCs w:val="16"/>
                <w:color w:val="auto"/>
                <w:w w:val="96"/>
              </w:rPr>
              <w:t>5.00</w:t>
            </w:r>
          </w:p>
        </w:tc>
        <w:tc>
          <w:tcPr>
            <w:tcW w:w="20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5.00</w:t>
            </w:r>
          </w:p>
        </w:tc>
        <w:tc>
          <w:tcPr>
            <w:tcW w:w="20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6"/>
              </w:rPr>
              <w:t>5.00</w:t>
            </w:r>
          </w:p>
        </w:tc>
        <w:tc>
          <w:tcPr>
            <w:tcW w:w="2020" w:type="dxa"/>
            <w:vAlign w:val="bottom"/>
          </w:tcPr>
          <w:p>
            <w:pPr>
              <w:jc w:val="center"/>
              <w:spacing w:after="0"/>
              <w:rPr>
                <w:sz w:val="20"/>
                <w:szCs w:val="20"/>
                <w:color w:val="auto"/>
              </w:rPr>
            </w:pPr>
            <w:r>
              <w:rPr>
                <w:rFonts w:ascii="Arial" w:cs="Arial" w:eastAsia="Arial" w:hAnsi="Arial"/>
                <w:sz w:val="16"/>
                <w:szCs w:val="16"/>
                <w:color w:val="auto"/>
                <w:w w:val="96"/>
              </w:rPr>
              <w:t>1.47</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Marketing (4)</w:t>
            </w:r>
          </w:p>
        </w:tc>
        <w:tc>
          <w:tcPr>
            <w:tcW w:w="2060" w:type="dxa"/>
            <w:vAlign w:val="bottom"/>
            <w:tcBorders>
              <w:left w:val="single" w:sz="8" w:color="7D7D7D"/>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3.00</w:t>
            </w:r>
          </w:p>
        </w:tc>
        <w:tc>
          <w:tcPr>
            <w:tcW w:w="20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3.10</w:t>
            </w:r>
          </w:p>
        </w:tc>
        <w:tc>
          <w:tcPr>
            <w:tcW w:w="20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4.00</w:t>
            </w:r>
          </w:p>
        </w:tc>
        <w:tc>
          <w:tcPr>
            <w:tcW w:w="20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6"/>
              </w:rPr>
              <w:t>3.50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60" w:type="dxa"/>
            <w:vAlign w:val="bottom"/>
            <w:tcBorders>
              <w:left w:val="single" w:sz="8" w:color="7D7D7D"/>
              <w:bottom w:val="single" w:sz="8" w:color="3C3C3C"/>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M&amp;A/ESG (2)</w:t>
            </w:r>
          </w:p>
        </w:tc>
        <w:tc>
          <w:tcPr>
            <w:tcW w:w="2060" w:type="dxa"/>
            <w:vAlign w:val="bottom"/>
            <w:tcBorders>
              <w:left w:val="single" w:sz="8" w:color="7D7D7D"/>
              <w:bottom w:val="single" w:sz="8" w:color="3C3C3C"/>
              <w:right w:val="single" w:sz="8" w:color="7D7D7D"/>
            </w:tcBorders>
          </w:tcPr>
          <w:p>
            <w:pPr>
              <w:jc w:val="center"/>
              <w:spacing w:after="0"/>
              <w:rPr>
                <w:sz w:val="20"/>
                <w:szCs w:val="20"/>
                <w:color w:val="auto"/>
              </w:rPr>
            </w:pPr>
            <w:r>
              <w:rPr>
                <w:rFonts w:ascii="Arial" w:cs="Arial" w:eastAsia="Arial" w:hAnsi="Arial"/>
                <w:sz w:val="16"/>
                <w:szCs w:val="16"/>
                <w:color w:val="auto"/>
                <w:w w:val="96"/>
              </w:rPr>
              <w:t>1.00</w:t>
            </w:r>
          </w:p>
        </w:tc>
        <w:tc>
          <w:tcPr>
            <w:tcW w:w="2040" w:type="dxa"/>
            <w:vAlign w:val="bottom"/>
            <w:tcBorders>
              <w:bottom w:val="single" w:sz="8" w:color="3C3C3C"/>
              <w:right w:val="single" w:sz="8" w:color="7D7D7D"/>
            </w:tcBorders>
          </w:tcPr>
          <w:p>
            <w:pPr>
              <w:jc w:val="center"/>
              <w:spacing w:after="0"/>
              <w:rPr>
                <w:sz w:val="20"/>
                <w:szCs w:val="20"/>
                <w:color w:val="auto"/>
              </w:rPr>
            </w:pPr>
            <w:r>
              <w:rPr>
                <w:rFonts w:ascii="Arial" w:cs="Arial" w:eastAsia="Arial" w:hAnsi="Arial"/>
                <w:sz w:val="16"/>
                <w:szCs w:val="16"/>
                <w:color w:val="auto"/>
              </w:rPr>
              <w:t>2.00</w:t>
            </w:r>
          </w:p>
        </w:tc>
        <w:tc>
          <w:tcPr>
            <w:tcW w:w="2060" w:type="dxa"/>
            <w:vAlign w:val="bottom"/>
            <w:tcBorders>
              <w:bottom w:val="single" w:sz="8" w:color="3C3C3C"/>
              <w:right w:val="single" w:sz="8" w:color="7D7D7D"/>
            </w:tcBorders>
          </w:tcPr>
          <w:p>
            <w:pPr>
              <w:jc w:val="center"/>
              <w:spacing w:after="0"/>
              <w:rPr>
                <w:sz w:val="20"/>
                <w:szCs w:val="20"/>
                <w:color w:val="auto"/>
              </w:rPr>
            </w:pPr>
            <w:r>
              <w:rPr>
                <w:rFonts w:ascii="Arial" w:cs="Arial" w:eastAsia="Arial" w:hAnsi="Arial"/>
                <w:sz w:val="16"/>
                <w:szCs w:val="16"/>
                <w:color w:val="auto"/>
                <w:w w:val="96"/>
              </w:rPr>
              <w:t>2.00</w:t>
            </w:r>
          </w:p>
        </w:tc>
        <w:tc>
          <w:tcPr>
            <w:tcW w:w="2020" w:type="dxa"/>
            <w:vAlign w:val="bottom"/>
            <w:tcBorders>
              <w:bottom w:val="single" w:sz="8" w:color="3C3C3C"/>
            </w:tcBorders>
          </w:tcPr>
          <w:p>
            <w:pPr>
              <w:jc w:val="center"/>
              <w:spacing w:after="0"/>
              <w:rPr>
                <w:sz w:val="20"/>
                <w:szCs w:val="20"/>
                <w:color w:val="auto"/>
              </w:rPr>
            </w:pPr>
            <w:r>
              <w:rPr>
                <w:rFonts w:ascii="Arial" w:cs="Arial" w:eastAsia="Arial" w:hAnsi="Arial"/>
                <w:sz w:val="16"/>
                <w:szCs w:val="16"/>
                <w:color w:val="auto"/>
                <w:w w:val="96"/>
              </w:rPr>
              <w:t>1.00</w:t>
            </w:r>
          </w:p>
        </w:tc>
        <w:tc>
          <w:tcPr>
            <w:tcW w:w="20" w:type="dxa"/>
            <w:vAlign w:val="bottom"/>
            <w:tcBorders>
              <w:bottom w:val="single" w:sz="8" w:color="7D7D7D"/>
            </w:tcBorders>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60" w:type="dxa"/>
            <w:vAlign w:val="bottom"/>
            <w:tcBorders>
              <w:left w:val="single" w:sz="8" w:color="7D7D7D"/>
              <w:bottom w:val="single" w:sz="8" w:color="FAF6EF"/>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Total Goals Achievement</w:t>
            </w:r>
          </w:p>
        </w:tc>
        <w:tc>
          <w:tcPr>
            <w:tcW w:w="2060" w:type="dxa"/>
            <w:vAlign w:val="bottom"/>
            <w:tcBorders>
              <w:left w:val="single" w:sz="8" w:color="7D7D7D"/>
              <w:bottom w:val="single" w:sz="8" w:color="3C3C3C"/>
              <w:right w:val="single" w:sz="8" w:color="7D7D7D"/>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8"/>
              </w:rPr>
              <w:t>100.57</w:t>
            </w:r>
          </w:p>
        </w:tc>
        <w:tc>
          <w:tcPr>
            <w:tcW w:w="2040" w:type="dxa"/>
            <w:vAlign w:val="bottom"/>
            <w:tcBorders>
              <w:bottom w:val="single" w:sz="8" w:color="3C3C3C"/>
              <w:right w:val="single" w:sz="8" w:color="7D7D7D"/>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9"/>
              </w:rPr>
              <w:t>91.97</w:t>
            </w:r>
          </w:p>
        </w:tc>
        <w:tc>
          <w:tcPr>
            <w:tcW w:w="2060" w:type="dxa"/>
            <w:vAlign w:val="bottom"/>
            <w:tcBorders>
              <w:bottom w:val="single" w:sz="8" w:color="3C3C3C"/>
              <w:right w:val="single" w:sz="8" w:color="7D7D7D"/>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4"/>
              </w:rPr>
              <w:t>77.17</w:t>
            </w:r>
          </w:p>
        </w:tc>
        <w:tc>
          <w:tcPr>
            <w:tcW w:w="2020" w:type="dxa"/>
            <w:vAlign w:val="bottom"/>
            <w:tcBorders>
              <w:bottom w:val="single" w:sz="8" w:color="3C3C3C"/>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9"/>
              </w:rPr>
              <w:t>55.69</w:t>
            </w:r>
          </w:p>
        </w:tc>
        <w:tc>
          <w:tcPr>
            <w:tcW w:w="20" w:type="dxa"/>
            <w:vAlign w:val="bottom"/>
            <w:tcBorders>
              <w:bottom w:val="single" w:sz="8" w:color="7D7D7D"/>
            </w:tcBorders>
            <w:shd w:val="clear" w:color="auto" w:fill="7D7D7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FAF6EF"/>
              <w:left w:val="single" w:sz="8" w:color="7D7D7D"/>
              <w:bottom w:val="single" w:sz="8" w:color="FAF6EF"/>
            </w:tcBorders>
            <w:vMerge w:val="restart"/>
          </w:tcPr>
          <w:p>
            <w:pPr>
              <w:ind w:left="120"/>
              <w:spacing w:after="0"/>
              <w:rPr>
                <w:sz w:val="20"/>
                <w:szCs w:val="20"/>
                <w:color w:val="auto"/>
              </w:rPr>
            </w:pPr>
            <w:r>
              <w:rPr>
                <w:rFonts w:ascii="Arial" w:cs="Arial" w:eastAsia="Arial" w:hAnsi="Arial"/>
                <w:sz w:val="16"/>
                <w:szCs w:val="16"/>
                <w:b w:val="1"/>
                <w:bCs w:val="1"/>
                <w:color w:val="auto"/>
              </w:rPr>
              <w:t>Company Performance Factor</w:t>
            </w:r>
          </w:p>
        </w:tc>
        <w:tc>
          <w:tcPr>
            <w:tcW w:w="2060" w:type="dxa"/>
            <w:vAlign w:val="bottom"/>
            <w:tcBorders>
              <w:top w:val="single" w:sz="8" w:color="FAF6EF"/>
              <w:bottom w:val="single" w:sz="8" w:color="3C3C3C"/>
            </w:tcBorders>
          </w:tcPr>
          <w:p>
            <w:pPr>
              <w:spacing w:after="0" w:line="20" w:lineRule="exact"/>
              <w:rPr>
                <w:sz w:val="1"/>
                <w:szCs w:val="1"/>
                <w:color w:val="auto"/>
              </w:rPr>
            </w:pPr>
          </w:p>
        </w:tc>
        <w:tc>
          <w:tcPr>
            <w:tcW w:w="2040" w:type="dxa"/>
            <w:vAlign w:val="bottom"/>
            <w:tcBorders>
              <w:top w:val="single" w:sz="8" w:color="FAF6EF"/>
              <w:bottom w:val="single" w:sz="8" w:color="3C3C3C"/>
            </w:tcBorders>
          </w:tcPr>
          <w:p>
            <w:pPr>
              <w:spacing w:after="0" w:line="20" w:lineRule="exact"/>
              <w:rPr>
                <w:sz w:val="1"/>
                <w:szCs w:val="1"/>
                <w:color w:val="auto"/>
              </w:rPr>
            </w:pPr>
          </w:p>
        </w:tc>
        <w:tc>
          <w:tcPr>
            <w:tcW w:w="2060" w:type="dxa"/>
            <w:vAlign w:val="bottom"/>
            <w:tcBorders>
              <w:top w:val="single" w:sz="8" w:color="FAF6EF"/>
              <w:bottom w:val="single" w:sz="8" w:color="3C3C3C"/>
            </w:tcBorders>
          </w:tcPr>
          <w:p>
            <w:pPr>
              <w:spacing w:after="0" w:line="20" w:lineRule="exact"/>
              <w:rPr>
                <w:sz w:val="1"/>
                <w:szCs w:val="1"/>
                <w:color w:val="auto"/>
              </w:rPr>
            </w:pPr>
          </w:p>
        </w:tc>
        <w:tc>
          <w:tcPr>
            <w:tcW w:w="2020" w:type="dxa"/>
            <w:vAlign w:val="bottom"/>
            <w:tcBorders>
              <w:top w:val="single" w:sz="8" w:color="FAF6EF"/>
              <w:bottom w:val="single" w:sz="8" w:color="3C3C3C"/>
            </w:tcBorders>
          </w:tcPr>
          <w:p>
            <w:pPr>
              <w:spacing w:after="0" w:line="20" w:lineRule="exact"/>
              <w:rPr>
                <w:sz w:val="1"/>
                <w:szCs w:val="1"/>
                <w:color w:val="auto"/>
              </w:rPr>
            </w:pPr>
          </w:p>
        </w:tc>
        <w:tc>
          <w:tcPr>
            <w:tcW w:w="20" w:type="dxa"/>
            <w:vAlign w:val="bottom"/>
            <w:tcBorders>
              <w:top w:val="single" w:sz="8" w:color="7D7D7D"/>
              <w:bottom w:val="single" w:sz="8" w:color="7D7D7D"/>
            </w:tcBorders>
            <w:shd w:val="clear" w:color="auto" w:fill="7D7D7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60" w:type="dxa"/>
            <w:vAlign w:val="bottom"/>
            <w:tcBorders>
              <w:left w:val="single" w:sz="8" w:color="7D7D7D"/>
            </w:tcBorders>
            <w:vMerge w:val="continue"/>
          </w:tcPr>
          <w:p>
            <w:pPr>
              <w:spacing w:after="0"/>
              <w:rPr>
                <w:sz w:val="18"/>
                <w:szCs w:val="18"/>
                <w:color w:val="auto"/>
              </w:rPr>
            </w:pPr>
          </w:p>
        </w:tc>
        <w:tc>
          <w:tcPr>
            <w:tcW w:w="2060" w:type="dxa"/>
            <w:vAlign w:val="bottom"/>
            <w:tcBorders>
              <w:left w:val="single" w:sz="8" w:color="7D7D7D"/>
              <w:right w:val="single" w:sz="8" w:color="7D7D7D"/>
            </w:tcBorders>
          </w:tcPr>
          <w:p>
            <w:pPr>
              <w:jc w:val="center"/>
              <w:spacing w:after="0"/>
              <w:rPr>
                <w:sz w:val="20"/>
                <w:szCs w:val="20"/>
                <w:color w:val="auto"/>
              </w:rPr>
            </w:pPr>
            <w:r>
              <w:rPr>
                <w:rFonts w:ascii="Arial" w:cs="Arial" w:eastAsia="Arial" w:hAnsi="Arial"/>
                <w:sz w:val="16"/>
                <w:szCs w:val="16"/>
                <w:b w:val="1"/>
                <w:bCs w:val="1"/>
                <w:color w:val="auto"/>
                <w:w w:val="98"/>
              </w:rPr>
              <w:t>1.0</w:t>
            </w:r>
          </w:p>
        </w:tc>
        <w:tc>
          <w:tcPr>
            <w:tcW w:w="2040" w:type="dxa"/>
            <w:vAlign w:val="bottom"/>
            <w:tcBorders>
              <w:right w:val="single" w:sz="8" w:color="7D7D7D"/>
            </w:tcBorders>
          </w:tcPr>
          <w:p>
            <w:pPr>
              <w:jc w:val="center"/>
              <w:spacing w:after="0"/>
              <w:rPr>
                <w:sz w:val="20"/>
                <w:szCs w:val="20"/>
                <w:color w:val="auto"/>
              </w:rPr>
            </w:pPr>
            <w:r>
              <w:rPr>
                <w:rFonts w:ascii="Arial" w:cs="Arial" w:eastAsia="Arial" w:hAnsi="Arial"/>
                <w:sz w:val="16"/>
                <w:szCs w:val="16"/>
                <w:b w:val="1"/>
                <w:bCs w:val="1"/>
                <w:color w:val="auto"/>
                <w:w w:val="89"/>
              </w:rPr>
              <w:t>1.0</w:t>
            </w:r>
          </w:p>
        </w:tc>
        <w:tc>
          <w:tcPr>
            <w:tcW w:w="2060" w:type="dxa"/>
            <w:vAlign w:val="bottom"/>
            <w:tcBorders>
              <w:right w:val="single" w:sz="8" w:color="7D7D7D"/>
            </w:tcBorders>
          </w:tcPr>
          <w:p>
            <w:pPr>
              <w:jc w:val="center"/>
              <w:spacing w:after="0"/>
              <w:rPr>
                <w:sz w:val="20"/>
                <w:szCs w:val="20"/>
                <w:color w:val="auto"/>
              </w:rPr>
            </w:pPr>
            <w:r>
              <w:rPr>
                <w:rFonts w:ascii="Arial" w:cs="Arial" w:eastAsia="Arial" w:hAnsi="Arial"/>
                <w:sz w:val="16"/>
                <w:szCs w:val="16"/>
                <w:b w:val="1"/>
                <w:bCs w:val="1"/>
                <w:color w:val="auto"/>
                <w:w w:val="98"/>
              </w:rPr>
              <w:t>0.5</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20" w:type="dxa"/>
            <w:vAlign w:val="bottom"/>
            <w:shd w:val="clear" w:color="auto" w:fill="7D7D7D"/>
          </w:tcPr>
          <w:p>
            <w:pPr>
              <w:spacing w:after="0"/>
              <w:rPr>
                <w:sz w:val="18"/>
                <w:szCs w:val="18"/>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Funding Factor</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also reviewed the actual PBB for each quarter against the targeted PBB for the applicable quarter and determined the applicable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Funding Factor for each quarter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440" w:type="dxa"/>
            <w:vAlign w:val="bottom"/>
            <w:tcBorders>
              <w:left w:val="single" w:sz="8" w:color="3C3C3C"/>
              <w:right w:val="single" w:sz="8" w:color="3C3C3C"/>
            </w:tcBorders>
            <w:vMerge w:val="restart"/>
            <w:shd w:val="clear" w:color="auto" w:fill="3C3C3C"/>
          </w:tcPr>
          <w:p>
            <w:pPr>
              <w:ind w:left="100"/>
              <w:spacing w:after="0"/>
              <w:rPr>
                <w:sz w:val="20"/>
                <w:szCs w:val="20"/>
                <w:color w:val="auto"/>
              </w:rPr>
            </w:pPr>
            <w:r>
              <w:rPr>
                <w:rFonts w:ascii="Arial" w:cs="Arial" w:eastAsia="Arial" w:hAnsi="Arial"/>
                <w:sz w:val="14"/>
                <w:szCs w:val="14"/>
                <w:b w:val="1"/>
                <w:bCs w:val="1"/>
                <w:color w:val="FFFFFF"/>
              </w:rPr>
              <w:t>2023 Calendar Quarter</w:t>
            </w:r>
          </w:p>
        </w:tc>
        <w:tc>
          <w:tcPr>
            <w:tcW w:w="1540" w:type="dxa"/>
            <w:vAlign w:val="bottom"/>
            <w:shd w:val="clear" w:color="auto" w:fill="3C3C3C"/>
          </w:tcPr>
          <w:p>
            <w:pPr>
              <w:jc w:val="center"/>
              <w:ind w:left="303"/>
              <w:spacing w:after="0"/>
              <w:rPr>
                <w:sz w:val="20"/>
                <w:szCs w:val="20"/>
                <w:color w:val="auto"/>
              </w:rPr>
            </w:pPr>
            <w:r>
              <w:rPr>
                <w:rFonts w:ascii="Arial" w:cs="Arial" w:eastAsia="Arial" w:hAnsi="Arial"/>
                <w:sz w:val="14"/>
                <w:szCs w:val="14"/>
                <w:b w:val="1"/>
                <w:bCs w:val="1"/>
                <w:color w:val="FFFFFF"/>
                <w:w w:val="98"/>
              </w:rPr>
              <w:t>Targeted PBB ($)</w:t>
            </w:r>
          </w:p>
        </w:tc>
        <w:tc>
          <w:tcPr>
            <w:tcW w:w="400" w:type="dxa"/>
            <w:vAlign w:val="bottom"/>
            <w:tcBorders>
              <w:right w:val="single" w:sz="8" w:color="3C3C3C"/>
            </w:tcBorders>
            <w:shd w:val="clear" w:color="auto" w:fill="3C3C3C"/>
          </w:tcPr>
          <w:p>
            <w:pPr>
              <w:spacing w:after="0"/>
              <w:rPr>
                <w:sz w:val="21"/>
                <w:szCs w:val="21"/>
                <w:color w:val="auto"/>
              </w:rPr>
            </w:pPr>
          </w:p>
        </w:tc>
        <w:tc>
          <w:tcPr>
            <w:tcW w:w="2340" w:type="dxa"/>
            <w:vAlign w:val="bottom"/>
            <w:gridSpan w:val="2"/>
            <w:shd w:val="clear" w:color="auto" w:fill="3C3C3C"/>
          </w:tcPr>
          <w:p>
            <w:pPr>
              <w:jc w:val="center"/>
              <w:ind w:right="440"/>
              <w:spacing w:after="0"/>
              <w:rPr>
                <w:sz w:val="20"/>
                <w:szCs w:val="20"/>
                <w:color w:val="auto"/>
              </w:rPr>
            </w:pPr>
            <w:r>
              <w:rPr>
                <w:rFonts w:ascii="Arial" w:cs="Arial" w:eastAsia="Arial" w:hAnsi="Arial"/>
                <w:sz w:val="14"/>
                <w:szCs w:val="14"/>
                <w:b w:val="1"/>
                <w:bCs w:val="1"/>
                <w:color w:val="FFFFFF"/>
              </w:rPr>
              <w:t>Actual PBB ($)</w:t>
            </w:r>
          </w:p>
        </w:tc>
        <w:tc>
          <w:tcPr>
            <w:tcW w:w="1520" w:type="dxa"/>
            <w:vAlign w:val="bottom"/>
            <w:shd w:val="clear" w:color="auto" w:fill="3C3C3C"/>
          </w:tcPr>
          <w:p>
            <w:pPr>
              <w:jc w:val="center"/>
              <w:ind w:right="343"/>
              <w:spacing w:after="0"/>
              <w:rPr>
                <w:sz w:val="20"/>
                <w:szCs w:val="20"/>
                <w:color w:val="auto"/>
              </w:rPr>
            </w:pPr>
            <w:r>
              <w:rPr>
                <w:rFonts w:ascii="Arial" w:cs="Arial" w:eastAsia="Arial" w:hAnsi="Arial"/>
                <w:sz w:val="14"/>
                <w:szCs w:val="14"/>
                <w:b w:val="1"/>
                <w:bCs w:val="1"/>
                <w:color w:val="FFFFFF"/>
              </w:rPr>
              <w:t>Funding Factor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5440" w:type="dxa"/>
            <w:vAlign w:val="bottom"/>
            <w:tcBorders>
              <w:left w:val="single" w:sz="8" w:color="3C3C3C"/>
              <w:right w:val="single" w:sz="8" w:color="3C3C3C"/>
            </w:tcBorders>
            <w:vMerge w:val="continue"/>
            <w:shd w:val="clear" w:color="auto" w:fill="3C3C3C"/>
          </w:tcPr>
          <w:p>
            <w:pPr>
              <w:spacing w:after="0"/>
              <w:rPr>
                <w:sz w:val="13"/>
                <w:szCs w:val="13"/>
                <w:color w:val="auto"/>
              </w:rPr>
            </w:pPr>
          </w:p>
        </w:tc>
        <w:tc>
          <w:tcPr>
            <w:tcW w:w="1540" w:type="dxa"/>
            <w:vAlign w:val="bottom"/>
            <w:shd w:val="clear" w:color="auto" w:fill="3C3C3C"/>
          </w:tcPr>
          <w:p>
            <w:pPr>
              <w:spacing w:after="0"/>
              <w:rPr>
                <w:sz w:val="13"/>
                <w:szCs w:val="13"/>
                <w:color w:val="auto"/>
              </w:rPr>
            </w:pPr>
          </w:p>
        </w:tc>
        <w:tc>
          <w:tcPr>
            <w:tcW w:w="2740" w:type="dxa"/>
            <w:vAlign w:val="bottom"/>
            <w:gridSpan w:val="3"/>
            <w:vMerge w:val="restart"/>
            <w:shd w:val="clear" w:color="auto" w:fill="3C3C3C"/>
          </w:tcPr>
          <w:p>
            <w:pPr>
              <w:jc w:val="center"/>
              <w:ind w:right="20"/>
              <w:spacing w:after="0"/>
              <w:rPr>
                <w:sz w:val="20"/>
                <w:szCs w:val="20"/>
                <w:color w:val="auto"/>
              </w:rPr>
            </w:pPr>
            <w:r>
              <w:rPr>
                <w:rFonts w:ascii="Arial" w:cs="Arial" w:eastAsia="Arial" w:hAnsi="Arial"/>
                <w:sz w:val="14"/>
                <w:szCs w:val="14"/>
                <w:b w:val="1"/>
                <w:bCs w:val="1"/>
                <w:color w:val="FFFFFF"/>
                <w:w w:val="99"/>
              </w:rPr>
              <w:t>(In millions, except the Funding Factors)</w:t>
            </w:r>
          </w:p>
        </w:tc>
        <w:tc>
          <w:tcPr>
            <w:tcW w:w="1520" w:type="dxa"/>
            <w:vAlign w:val="bottom"/>
            <w:shd w:val="clear" w:color="auto" w:fill="3C3C3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440" w:type="dxa"/>
            <w:vAlign w:val="bottom"/>
            <w:tcBorders>
              <w:left w:val="single" w:sz="8" w:color="3C3C3C"/>
              <w:bottom w:val="single" w:sz="8" w:color="3C3C3C"/>
              <w:right w:val="single" w:sz="8" w:color="3C3C3C"/>
            </w:tcBorders>
            <w:shd w:val="clear" w:color="auto" w:fill="3C3C3C"/>
          </w:tcPr>
          <w:p>
            <w:pPr>
              <w:spacing w:after="0"/>
              <w:rPr>
                <w:sz w:val="16"/>
                <w:szCs w:val="16"/>
                <w:color w:val="auto"/>
              </w:rPr>
            </w:pPr>
          </w:p>
        </w:tc>
        <w:tc>
          <w:tcPr>
            <w:tcW w:w="1540" w:type="dxa"/>
            <w:vAlign w:val="bottom"/>
            <w:tcBorders>
              <w:bottom w:val="single" w:sz="8" w:color="3C3C3C"/>
            </w:tcBorders>
            <w:shd w:val="clear" w:color="auto" w:fill="3C3C3C"/>
          </w:tcPr>
          <w:p>
            <w:pPr>
              <w:spacing w:after="0"/>
              <w:rPr>
                <w:sz w:val="16"/>
                <w:szCs w:val="16"/>
                <w:color w:val="auto"/>
              </w:rPr>
            </w:pPr>
          </w:p>
        </w:tc>
        <w:tc>
          <w:tcPr>
            <w:tcW w:w="2740" w:type="dxa"/>
            <w:vAlign w:val="bottom"/>
            <w:tcBorders>
              <w:bottom w:val="single" w:sz="8" w:color="3C3C3C"/>
            </w:tcBorders>
            <w:gridSpan w:val="3"/>
            <w:vMerge w:val="continue"/>
            <w:shd w:val="clear" w:color="auto" w:fill="3C3C3C"/>
          </w:tcPr>
          <w:p>
            <w:pPr>
              <w:spacing w:after="0"/>
              <w:rPr>
                <w:sz w:val="16"/>
                <w:szCs w:val="16"/>
                <w:color w:val="auto"/>
              </w:rPr>
            </w:pPr>
          </w:p>
        </w:tc>
        <w:tc>
          <w:tcPr>
            <w:tcW w:w="1520" w:type="dxa"/>
            <w:vAlign w:val="bottom"/>
            <w:tcBorders>
              <w:bottom w:val="single" w:sz="8" w:color="3C3C3C"/>
            </w:tcBorders>
            <w:shd w:val="clear" w:color="auto" w:fill="3C3C3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Q1</w:t>
            </w:r>
          </w:p>
        </w:tc>
        <w:tc>
          <w:tcPr>
            <w:tcW w:w="1540" w:type="dxa"/>
            <w:vAlign w:val="bottom"/>
            <w:shd w:val="clear" w:color="auto" w:fill="FAF6EF"/>
          </w:tcPr>
          <w:p>
            <w:pPr>
              <w:jc w:val="center"/>
              <w:ind w:left="303"/>
              <w:spacing w:after="0"/>
              <w:rPr>
                <w:sz w:val="20"/>
                <w:szCs w:val="20"/>
                <w:color w:val="auto"/>
              </w:rPr>
            </w:pPr>
            <w:r>
              <w:rPr>
                <w:rFonts w:ascii="Arial" w:cs="Arial" w:eastAsia="Arial" w:hAnsi="Arial"/>
                <w:sz w:val="16"/>
                <w:szCs w:val="16"/>
                <w:color w:val="auto"/>
                <w:w w:val="98"/>
              </w:rPr>
              <w:t>225.42</w:t>
            </w:r>
          </w:p>
        </w:tc>
        <w:tc>
          <w:tcPr>
            <w:tcW w:w="400" w:type="dxa"/>
            <w:vAlign w:val="bottom"/>
            <w:tcBorders>
              <w:right w:val="single" w:sz="8" w:color="7D7D7D"/>
            </w:tcBorders>
            <w:shd w:val="clear" w:color="auto" w:fill="FAF6EF"/>
          </w:tcPr>
          <w:p>
            <w:pPr>
              <w:spacing w:after="0"/>
              <w:rPr>
                <w:sz w:val="20"/>
                <w:szCs w:val="20"/>
                <w:color w:val="auto"/>
              </w:rPr>
            </w:pPr>
          </w:p>
        </w:tc>
        <w:tc>
          <w:tcPr>
            <w:tcW w:w="19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251.86</w:t>
            </w:r>
          </w:p>
        </w:tc>
        <w:tc>
          <w:tcPr>
            <w:tcW w:w="400" w:type="dxa"/>
            <w:vAlign w:val="bottom"/>
            <w:shd w:val="clear" w:color="auto" w:fill="FAF6EF"/>
          </w:tcPr>
          <w:p>
            <w:pPr>
              <w:spacing w:after="0"/>
              <w:rPr>
                <w:sz w:val="20"/>
                <w:szCs w:val="20"/>
                <w:color w:val="auto"/>
              </w:rPr>
            </w:pPr>
          </w:p>
        </w:tc>
        <w:tc>
          <w:tcPr>
            <w:tcW w:w="1520" w:type="dxa"/>
            <w:vAlign w:val="bottom"/>
            <w:shd w:val="clear" w:color="auto" w:fill="FAF6EF"/>
          </w:tcPr>
          <w:p>
            <w:pPr>
              <w:jc w:val="center"/>
              <w:ind w:right="343"/>
              <w:spacing w:after="0"/>
              <w:rPr>
                <w:sz w:val="20"/>
                <w:szCs w:val="20"/>
                <w:color w:val="auto"/>
              </w:rPr>
            </w:pPr>
            <w:r>
              <w:rPr>
                <w:rFonts w:ascii="Arial" w:cs="Arial" w:eastAsia="Arial" w:hAnsi="Arial"/>
                <w:sz w:val="16"/>
                <w:szCs w:val="16"/>
                <w:color w:val="auto"/>
                <w:w w:val="96"/>
              </w:rPr>
              <w:t>1.12</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Q2</w:t>
            </w:r>
          </w:p>
        </w:tc>
        <w:tc>
          <w:tcPr>
            <w:tcW w:w="1540" w:type="dxa"/>
            <w:vAlign w:val="bottom"/>
          </w:tcPr>
          <w:p>
            <w:pPr>
              <w:jc w:val="center"/>
              <w:ind w:left="303"/>
              <w:spacing w:after="0"/>
              <w:rPr>
                <w:sz w:val="20"/>
                <w:szCs w:val="20"/>
                <w:color w:val="auto"/>
              </w:rPr>
            </w:pPr>
            <w:r>
              <w:rPr>
                <w:rFonts w:ascii="Arial" w:cs="Arial" w:eastAsia="Arial" w:hAnsi="Arial"/>
                <w:sz w:val="16"/>
                <w:szCs w:val="16"/>
                <w:color w:val="auto"/>
                <w:w w:val="98"/>
              </w:rPr>
              <w:t>231.67</w:t>
            </w:r>
          </w:p>
        </w:tc>
        <w:tc>
          <w:tcPr>
            <w:tcW w:w="400" w:type="dxa"/>
            <w:vAlign w:val="bottom"/>
            <w:tcBorders>
              <w:right w:val="single" w:sz="8" w:color="7D7D7D"/>
            </w:tcBorders>
          </w:tcPr>
          <w:p>
            <w:pPr>
              <w:spacing w:after="0"/>
              <w:rPr>
                <w:sz w:val="20"/>
                <w:szCs w:val="20"/>
                <w:color w:val="auto"/>
              </w:rPr>
            </w:pPr>
          </w:p>
        </w:tc>
        <w:tc>
          <w:tcPr>
            <w:tcW w:w="19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252.74</w:t>
            </w:r>
          </w:p>
        </w:tc>
        <w:tc>
          <w:tcPr>
            <w:tcW w:w="400" w:type="dxa"/>
            <w:vAlign w:val="bottom"/>
          </w:tcPr>
          <w:p>
            <w:pPr>
              <w:spacing w:after="0"/>
              <w:rPr>
                <w:sz w:val="20"/>
                <w:szCs w:val="20"/>
                <w:color w:val="auto"/>
              </w:rPr>
            </w:pPr>
          </w:p>
        </w:tc>
        <w:tc>
          <w:tcPr>
            <w:tcW w:w="1520" w:type="dxa"/>
            <w:vAlign w:val="bottom"/>
          </w:tcPr>
          <w:p>
            <w:pPr>
              <w:jc w:val="center"/>
              <w:ind w:right="343"/>
              <w:spacing w:after="0"/>
              <w:rPr>
                <w:sz w:val="20"/>
                <w:szCs w:val="20"/>
                <w:color w:val="auto"/>
              </w:rPr>
            </w:pPr>
            <w:r>
              <w:rPr>
                <w:rFonts w:ascii="Arial" w:cs="Arial" w:eastAsia="Arial" w:hAnsi="Arial"/>
                <w:sz w:val="16"/>
                <w:szCs w:val="16"/>
                <w:color w:val="auto"/>
                <w:w w:val="96"/>
              </w:rPr>
              <w:t>1.09</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Q3</w:t>
            </w:r>
          </w:p>
        </w:tc>
        <w:tc>
          <w:tcPr>
            <w:tcW w:w="1540" w:type="dxa"/>
            <w:vAlign w:val="bottom"/>
            <w:shd w:val="clear" w:color="auto" w:fill="FAF6EF"/>
          </w:tcPr>
          <w:p>
            <w:pPr>
              <w:jc w:val="center"/>
              <w:ind w:left="303"/>
              <w:spacing w:after="0"/>
              <w:rPr>
                <w:sz w:val="20"/>
                <w:szCs w:val="20"/>
                <w:color w:val="auto"/>
              </w:rPr>
            </w:pPr>
            <w:r>
              <w:rPr>
                <w:rFonts w:ascii="Arial" w:cs="Arial" w:eastAsia="Arial" w:hAnsi="Arial"/>
                <w:sz w:val="16"/>
                <w:szCs w:val="16"/>
                <w:color w:val="auto"/>
                <w:w w:val="98"/>
              </w:rPr>
              <w:t>242.80</w:t>
            </w:r>
          </w:p>
        </w:tc>
        <w:tc>
          <w:tcPr>
            <w:tcW w:w="400" w:type="dxa"/>
            <w:vAlign w:val="bottom"/>
            <w:tcBorders>
              <w:right w:val="single" w:sz="8" w:color="7D7D7D"/>
            </w:tcBorders>
            <w:shd w:val="clear" w:color="auto" w:fill="FAF6EF"/>
          </w:tcPr>
          <w:p>
            <w:pPr>
              <w:spacing w:after="0"/>
              <w:rPr>
                <w:sz w:val="20"/>
                <w:szCs w:val="20"/>
                <w:color w:val="auto"/>
              </w:rPr>
            </w:pPr>
          </w:p>
        </w:tc>
        <w:tc>
          <w:tcPr>
            <w:tcW w:w="19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173.77</w:t>
            </w:r>
          </w:p>
        </w:tc>
        <w:tc>
          <w:tcPr>
            <w:tcW w:w="400" w:type="dxa"/>
            <w:vAlign w:val="bottom"/>
            <w:shd w:val="clear" w:color="auto" w:fill="FAF6EF"/>
          </w:tcPr>
          <w:p>
            <w:pPr>
              <w:spacing w:after="0"/>
              <w:rPr>
                <w:sz w:val="20"/>
                <w:szCs w:val="20"/>
                <w:color w:val="auto"/>
              </w:rPr>
            </w:pPr>
          </w:p>
        </w:tc>
        <w:tc>
          <w:tcPr>
            <w:tcW w:w="1520" w:type="dxa"/>
            <w:vAlign w:val="bottom"/>
            <w:shd w:val="clear" w:color="auto" w:fill="FAF6EF"/>
          </w:tcPr>
          <w:p>
            <w:pPr>
              <w:jc w:val="center"/>
              <w:ind w:right="343"/>
              <w:spacing w:after="0"/>
              <w:rPr>
                <w:sz w:val="20"/>
                <w:szCs w:val="20"/>
                <w:color w:val="auto"/>
              </w:rPr>
            </w:pPr>
            <w:r>
              <w:rPr>
                <w:rFonts w:ascii="Arial" w:cs="Arial" w:eastAsia="Arial" w:hAnsi="Arial"/>
                <w:sz w:val="16"/>
                <w:szCs w:val="16"/>
                <w:color w:val="auto"/>
                <w:w w:val="96"/>
              </w:rPr>
              <w:t>0.72</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4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Q4</w:t>
            </w:r>
          </w:p>
        </w:tc>
        <w:tc>
          <w:tcPr>
            <w:tcW w:w="1540" w:type="dxa"/>
            <w:vAlign w:val="bottom"/>
          </w:tcPr>
          <w:p>
            <w:pPr>
              <w:jc w:val="center"/>
              <w:ind w:left="303"/>
              <w:spacing w:after="0"/>
              <w:rPr>
                <w:sz w:val="20"/>
                <w:szCs w:val="20"/>
                <w:color w:val="auto"/>
              </w:rPr>
            </w:pPr>
            <w:r>
              <w:rPr>
                <w:rFonts w:ascii="Arial" w:cs="Arial" w:eastAsia="Arial" w:hAnsi="Arial"/>
                <w:sz w:val="16"/>
                <w:szCs w:val="16"/>
                <w:color w:val="auto"/>
                <w:w w:val="98"/>
              </w:rPr>
              <w:t>238.50</w:t>
            </w:r>
          </w:p>
        </w:tc>
        <w:tc>
          <w:tcPr>
            <w:tcW w:w="400" w:type="dxa"/>
            <w:vAlign w:val="bottom"/>
            <w:tcBorders>
              <w:right w:val="single" w:sz="8" w:color="7D7D7D"/>
            </w:tcBorders>
          </w:tcPr>
          <w:p>
            <w:pPr>
              <w:spacing w:after="0"/>
              <w:rPr>
                <w:sz w:val="20"/>
                <w:szCs w:val="20"/>
                <w:color w:val="auto"/>
              </w:rPr>
            </w:pPr>
          </w:p>
        </w:tc>
        <w:tc>
          <w:tcPr>
            <w:tcW w:w="19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64.54</w:t>
            </w:r>
          </w:p>
        </w:tc>
        <w:tc>
          <w:tcPr>
            <w:tcW w:w="400" w:type="dxa"/>
            <w:vAlign w:val="bottom"/>
          </w:tcPr>
          <w:p>
            <w:pPr>
              <w:spacing w:after="0"/>
              <w:rPr>
                <w:sz w:val="20"/>
                <w:szCs w:val="20"/>
                <w:color w:val="auto"/>
              </w:rPr>
            </w:pPr>
          </w:p>
        </w:tc>
        <w:tc>
          <w:tcPr>
            <w:tcW w:w="1520" w:type="dxa"/>
            <w:vAlign w:val="bottom"/>
          </w:tcPr>
          <w:p>
            <w:pPr>
              <w:jc w:val="center"/>
              <w:ind w:right="343"/>
              <w:spacing w:after="0"/>
              <w:rPr>
                <w:sz w:val="20"/>
                <w:szCs w:val="20"/>
                <w:color w:val="auto"/>
              </w:rPr>
            </w:pPr>
            <w:r>
              <w:rPr>
                <w:rFonts w:ascii="Arial" w:cs="Arial" w:eastAsia="Arial" w:hAnsi="Arial"/>
                <w:sz w:val="16"/>
                <w:szCs w:val="16"/>
                <w:color w:val="auto"/>
                <w:w w:val="96"/>
              </w:rPr>
              <w:t>0.27</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Individual Performance Factor</w:t>
      </w:r>
    </w:p>
    <w:p>
      <w:pPr>
        <w:spacing w:after="0" w:line="125"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At the end of each calendar quarter, the Compensation Committee scored our CEO’s individual achievement against the Quarterly CEO SMART Goals. The CEO scored each NEO’s performance (other than himself) against each NEO’s respective Quarterly Individual Goals.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42" w:name="page43"/>
    <w:bookmarkEnd w:id="42"/>
    <w:p>
      <w:pPr>
        <w:jc w:val="both"/>
        <w:ind w:right="20"/>
        <w:spacing w:after="0" w:line="318" w:lineRule="auto"/>
        <w:rPr>
          <w:sz w:val="20"/>
          <w:szCs w:val="20"/>
          <w:color w:val="auto"/>
        </w:rPr>
      </w:pPr>
      <w:r>
        <w:rPr>
          <w:rFonts w:ascii="Arial" w:cs="Arial" w:eastAsia="Arial" w:hAnsi="Arial"/>
          <w:sz w:val="16"/>
          <w:szCs w:val="16"/>
          <w:color w:val="auto"/>
        </w:rPr>
        <w:t>Out of a possible 120 points each quarter (which included up to 20 points for the achievement of stretch goals), our NEOs achieved the following individual scores on their quarterly performance goals in 2023:</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5260" w:type="dxa"/>
            <w:vAlign w:val="bottom"/>
            <w:tcBorders>
              <w:left w:val="single" w:sz="8" w:color="3C3C3C"/>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1500" w:type="dxa"/>
            <w:vAlign w:val="bottom"/>
            <w:tcBorders>
              <w:right w:val="single" w:sz="8" w:color="3C3C3C"/>
            </w:tcBorders>
            <w:shd w:val="clear" w:color="auto" w:fill="3C3C3C"/>
          </w:tcPr>
          <w:p>
            <w:pPr>
              <w:ind w:left="420"/>
              <w:spacing w:after="0"/>
              <w:rPr>
                <w:sz w:val="20"/>
                <w:szCs w:val="20"/>
                <w:color w:val="auto"/>
              </w:rPr>
            </w:pPr>
            <w:r>
              <w:rPr>
                <w:rFonts w:ascii="Arial" w:cs="Arial" w:eastAsia="Arial" w:hAnsi="Arial"/>
                <w:sz w:val="14"/>
                <w:szCs w:val="14"/>
                <w:b w:val="1"/>
                <w:bCs w:val="1"/>
                <w:color w:val="FFFFFF"/>
              </w:rPr>
              <w:t>Q1 Score</w:t>
            </w:r>
          </w:p>
        </w:tc>
        <w:tc>
          <w:tcPr>
            <w:tcW w:w="1500" w:type="dxa"/>
            <w:vAlign w:val="bottom"/>
            <w:tcBorders>
              <w:right w:val="single" w:sz="8" w:color="3C3C3C"/>
            </w:tcBorders>
            <w:shd w:val="clear" w:color="auto" w:fill="3C3C3C"/>
          </w:tcPr>
          <w:p>
            <w:pPr>
              <w:ind w:left="420"/>
              <w:spacing w:after="0"/>
              <w:rPr>
                <w:sz w:val="20"/>
                <w:szCs w:val="20"/>
                <w:color w:val="auto"/>
              </w:rPr>
            </w:pPr>
            <w:r>
              <w:rPr>
                <w:rFonts w:ascii="Arial" w:cs="Arial" w:eastAsia="Arial" w:hAnsi="Arial"/>
                <w:sz w:val="14"/>
                <w:szCs w:val="14"/>
                <w:b w:val="1"/>
                <w:bCs w:val="1"/>
                <w:color w:val="FFFFFF"/>
              </w:rPr>
              <w:t>Q2 Score</w:t>
            </w:r>
          </w:p>
        </w:tc>
        <w:tc>
          <w:tcPr>
            <w:tcW w:w="15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Q3 Score</w:t>
            </w:r>
          </w:p>
        </w:tc>
        <w:tc>
          <w:tcPr>
            <w:tcW w:w="148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Q4 Score</w:t>
            </w:r>
          </w:p>
        </w:tc>
        <w:tc>
          <w:tcPr>
            <w:tcW w:w="20" w:type="dxa"/>
            <w:vAlign w:val="bottom"/>
          </w:tcPr>
          <w:p>
            <w:pPr>
              <w:spacing w:after="0"/>
              <w:rPr>
                <w:sz w:val="19"/>
                <w:szCs w:val="19"/>
                <w:color w:val="auto"/>
              </w:rPr>
            </w:pPr>
          </w:p>
        </w:tc>
      </w:tr>
      <w:tr>
        <w:trPr>
          <w:trHeight w:val="235"/>
        </w:trPr>
        <w:tc>
          <w:tcPr>
            <w:tcW w:w="52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5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3"/>
              </w:rPr>
              <w:t>100.57</w:t>
            </w:r>
          </w:p>
        </w:tc>
        <w:tc>
          <w:tcPr>
            <w:tcW w:w="15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91.97</w:t>
            </w:r>
          </w:p>
        </w:tc>
        <w:tc>
          <w:tcPr>
            <w:tcW w:w="15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77.17</w:t>
            </w:r>
          </w:p>
        </w:tc>
        <w:tc>
          <w:tcPr>
            <w:tcW w:w="14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55.69</w:t>
            </w:r>
          </w:p>
        </w:tc>
        <w:tc>
          <w:tcPr>
            <w:tcW w:w="20" w:type="dxa"/>
            <w:vAlign w:val="bottom"/>
            <w:shd w:val="clear" w:color="auto" w:fill="7D7D7D"/>
          </w:tcPr>
          <w:p>
            <w:pPr>
              <w:spacing w:after="0"/>
              <w:rPr>
                <w:sz w:val="20"/>
                <w:szCs w:val="20"/>
                <w:color w:val="auto"/>
              </w:rPr>
            </w:pPr>
          </w:p>
        </w:tc>
      </w:tr>
      <w:tr>
        <w:trPr>
          <w:trHeight w:val="232"/>
        </w:trPr>
        <w:tc>
          <w:tcPr>
            <w:tcW w:w="52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5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3"/>
              </w:rPr>
              <w:t>103.93</w:t>
            </w:r>
          </w:p>
        </w:tc>
        <w:tc>
          <w:tcPr>
            <w:tcW w:w="15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3"/>
              </w:rPr>
              <w:t>105.11</w:t>
            </w:r>
          </w:p>
        </w:tc>
        <w:tc>
          <w:tcPr>
            <w:tcW w:w="15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86.34</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72.18</w:t>
            </w:r>
          </w:p>
        </w:tc>
        <w:tc>
          <w:tcPr>
            <w:tcW w:w="20" w:type="dxa"/>
            <w:vAlign w:val="bottom"/>
            <w:shd w:val="clear" w:color="auto" w:fill="7D7D7D"/>
          </w:tcPr>
          <w:p>
            <w:pPr>
              <w:spacing w:after="0"/>
              <w:rPr>
                <w:sz w:val="20"/>
                <w:szCs w:val="20"/>
                <w:color w:val="auto"/>
              </w:rPr>
            </w:pPr>
          </w:p>
        </w:tc>
      </w:tr>
      <w:tr>
        <w:trPr>
          <w:trHeight w:val="239"/>
        </w:trPr>
        <w:tc>
          <w:tcPr>
            <w:tcW w:w="52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Jeffrey McNeil</w:t>
            </w:r>
          </w:p>
        </w:tc>
        <w:tc>
          <w:tcPr>
            <w:tcW w:w="15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84.90</w:t>
            </w:r>
          </w:p>
        </w:tc>
        <w:tc>
          <w:tcPr>
            <w:tcW w:w="15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60.00</w:t>
            </w:r>
          </w:p>
        </w:tc>
        <w:tc>
          <w:tcPr>
            <w:tcW w:w="15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45.00</w:t>
            </w:r>
          </w:p>
        </w:tc>
        <w:tc>
          <w:tcPr>
            <w:tcW w:w="14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69.00</w:t>
            </w:r>
          </w:p>
        </w:tc>
        <w:tc>
          <w:tcPr>
            <w:tcW w:w="20" w:type="dxa"/>
            <w:vAlign w:val="bottom"/>
            <w:shd w:val="clear" w:color="auto" w:fill="7D7D7D"/>
          </w:tcPr>
          <w:p>
            <w:pPr>
              <w:spacing w:after="0"/>
              <w:rPr>
                <w:sz w:val="20"/>
                <w:szCs w:val="20"/>
                <w:color w:val="auto"/>
              </w:rPr>
            </w:pPr>
          </w:p>
        </w:tc>
      </w:tr>
      <w:tr>
        <w:trPr>
          <w:trHeight w:val="235"/>
        </w:trPr>
        <w:tc>
          <w:tcPr>
            <w:tcW w:w="52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David Ranhoff</w:t>
            </w:r>
          </w:p>
        </w:tc>
        <w:tc>
          <w:tcPr>
            <w:tcW w:w="15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4"/>
              </w:rPr>
              <w:t>91.45</w:t>
            </w:r>
          </w:p>
        </w:tc>
        <w:tc>
          <w:tcPr>
            <w:tcW w:w="15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4"/>
              </w:rPr>
              <w:t>78.80</w:t>
            </w:r>
          </w:p>
        </w:tc>
        <w:tc>
          <w:tcPr>
            <w:tcW w:w="15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63.77</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39.13</w:t>
            </w:r>
          </w:p>
        </w:tc>
        <w:tc>
          <w:tcPr>
            <w:tcW w:w="20" w:type="dxa"/>
            <w:vAlign w:val="bottom"/>
            <w:shd w:val="clear" w:color="auto" w:fill="7D7D7D"/>
          </w:tcPr>
          <w:p>
            <w:pPr>
              <w:spacing w:after="0"/>
              <w:rPr>
                <w:sz w:val="20"/>
                <w:szCs w:val="20"/>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Actual 2023 Quarterly Performance Cash Bonuses Earned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retained final discretion over and approved all quarterly bonus payments under the 2023 Bonus Program.</w:t>
      </w:r>
    </w:p>
    <w:p>
      <w:pPr>
        <w:spacing w:after="0" w:line="19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described above, the quarterly bonus payout for each NEO was determined by taking the NEO’s eligible salary on a quarterly basis, multiplied by his or her Bonus Percentage and multiplying that by the Company Performance Factor, the Funding Factor, and the Individual Performance Factor. For an example of how the quarterly cash bonus was calculated for the CEO in each quarter, please see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36765" cy="290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765" cy="290195"/>
                    </a:xfrm>
                    <a:prstGeom prst="rect">
                      <a:avLst/>
                    </a:prstGeom>
                    <a:noFill/>
                  </pic:spPr>
                </pic:pic>
              </a:graphicData>
            </a:graphic>
          </wp:anchor>
        </w:drawing>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CEO Performance Cash Bonus</w:t>
      </w: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4840" w:type="dxa"/>
            <w:vAlign w:val="bottom"/>
          </w:tcPr>
          <w:p>
            <w:pPr>
              <w:ind w:left="100"/>
              <w:spacing w:after="0"/>
              <w:rPr>
                <w:sz w:val="20"/>
                <w:szCs w:val="20"/>
                <w:color w:val="auto"/>
              </w:rPr>
            </w:pPr>
            <w:r>
              <w:rPr>
                <w:rFonts w:ascii="Arial" w:cs="Arial" w:eastAsia="Arial" w:hAnsi="Arial"/>
                <w:sz w:val="14"/>
                <w:szCs w:val="14"/>
                <w:b w:val="1"/>
                <w:bCs w:val="1"/>
                <w:color w:val="FFFFFF"/>
              </w:rPr>
              <w:t>Performance Cash Bonus Factors</w:t>
            </w:r>
          </w:p>
        </w:tc>
        <w:tc>
          <w:tcPr>
            <w:tcW w:w="1620" w:type="dxa"/>
            <w:vAlign w:val="bottom"/>
          </w:tcPr>
          <w:p>
            <w:pPr>
              <w:ind w:left="460"/>
              <w:spacing w:after="0"/>
              <w:rPr>
                <w:sz w:val="20"/>
                <w:szCs w:val="20"/>
                <w:color w:val="auto"/>
              </w:rPr>
            </w:pPr>
            <w:r>
              <w:rPr>
                <w:rFonts w:ascii="Arial" w:cs="Arial" w:eastAsia="Arial" w:hAnsi="Arial"/>
                <w:sz w:val="14"/>
                <w:szCs w:val="14"/>
                <w:b w:val="1"/>
                <w:bCs w:val="1"/>
                <w:color w:val="FFFFFF"/>
              </w:rPr>
              <w:t>Q1 Actual</w:t>
            </w:r>
          </w:p>
        </w:tc>
        <w:tc>
          <w:tcPr>
            <w:tcW w:w="1620" w:type="dxa"/>
            <w:vAlign w:val="bottom"/>
          </w:tcPr>
          <w:p>
            <w:pPr>
              <w:ind w:left="460"/>
              <w:spacing w:after="0"/>
              <w:rPr>
                <w:sz w:val="20"/>
                <w:szCs w:val="20"/>
                <w:color w:val="auto"/>
              </w:rPr>
            </w:pPr>
            <w:r>
              <w:rPr>
                <w:rFonts w:ascii="Arial" w:cs="Arial" w:eastAsia="Arial" w:hAnsi="Arial"/>
                <w:sz w:val="14"/>
                <w:szCs w:val="14"/>
                <w:b w:val="1"/>
                <w:bCs w:val="1"/>
                <w:color w:val="FFFFFF"/>
              </w:rPr>
              <w:t>Q2 Actual</w:t>
            </w:r>
          </w:p>
        </w:tc>
        <w:tc>
          <w:tcPr>
            <w:tcW w:w="1620" w:type="dxa"/>
            <w:vAlign w:val="bottom"/>
          </w:tcPr>
          <w:p>
            <w:pPr>
              <w:ind w:left="460"/>
              <w:spacing w:after="0"/>
              <w:rPr>
                <w:sz w:val="20"/>
                <w:szCs w:val="20"/>
                <w:color w:val="auto"/>
              </w:rPr>
            </w:pPr>
            <w:r>
              <w:rPr>
                <w:rFonts w:ascii="Arial" w:cs="Arial" w:eastAsia="Arial" w:hAnsi="Arial"/>
                <w:sz w:val="14"/>
                <w:szCs w:val="14"/>
                <w:b w:val="1"/>
                <w:bCs w:val="1"/>
                <w:color w:val="FFFFFF"/>
              </w:rPr>
              <w:t>Q3 Actual</w:t>
            </w:r>
          </w:p>
        </w:tc>
        <w:tc>
          <w:tcPr>
            <w:tcW w:w="1560" w:type="dxa"/>
            <w:vAlign w:val="bottom"/>
          </w:tcPr>
          <w:p>
            <w:pPr>
              <w:ind w:left="440"/>
              <w:spacing w:after="0"/>
              <w:rPr>
                <w:sz w:val="20"/>
                <w:szCs w:val="20"/>
                <w:color w:val="auto"/>
              </w:rPr>
            </w:pPr>
            <w:r>
              <w:rPr>
                <w:rFonts w:ascii="Arial" w:cs="Arial" w:eastAsia="Arial" w:hAnsi="Arial"/>
                <w:sz w:val="14"/>
                <w:szCs w:val="14"/>
                <w:b w:val="1"/>
                <w:bCs w:val="1"/>
                <w:color w:val="FFFFFF"/>
              </w:rPr>
              <w:t>Q4 Actual</w:t>
            </w:r>
          </w:p>
        </w:tc>
      </w:tr>
      <w:tr>
        <w:trPr>
          <w:trHeight w:val="242"/>
        </w:trPr>
        <w:tc>
          <w:tcPr>
            <w:tcW w:w="48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Quarterly bonus eligible at target ($)</w:t>
            </w:r>
          </w:p>
        </w:tc>
        <w:tc>
          <w:tcPr>
            <w:tcW w:w="16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$112,500</w:t>
            </w:r>
          </w:p>
        </w:tc>
        <w:tc>
          <w:tcPr>
            <w:tcW w:w="16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$112,500</w:t>
            </w:r>
          </w:p>
        </w:tc>
        <w:tc>
          <w:tcPr>
            <w:tcW w:w="16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5"/>
              </w:rPr>
              <w:t>$112,500</w:t>
            </w:r>
          </w:p>
        </w:tc>
        <w:tc>
          <w:tcPr>
            <w:tcW w:w="15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112,500</w:t>
            </w:r>
          </w:p>
        </w:tc>
      </w:tr>
      <w:tr>
        <w:trPr>
          <w:trHeight w:val="232"/>
        </w:trPr>
        <w:tc>
          <w:tcPr>
            <w:tcW w:w="48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Company Performance Factor</w:t>
            </w:r>
          </w:p>
        </w:tc>
        <w:tc>
          <w:tcPr>
            <w:tcW w:w="16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1.0</w:t>
            </w:r>
          </w:p>
        </w:tc>
        <w:tc>
          <w:tcPr>
            <w:tcW w:w="16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1.0</w:t>
            </w:r>
          </w:p>
        </w:tc>
        <w:tc>
          <w:tcPr>
            <w:tcW w:w="16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0.5</w:t>
            </w:r>
          </w:p>
        </w:tc>
        <w:tc>
          <w:tcPr>
            <w:tcW w:w="15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w:t>
            </w:r>
          </w:p>
        </w:tc>
      </w:tr>
      <w:tr>
        <w:trPr>
          <w:trHeight w:val="239"/>
        </w:trPr>
        <w:tc>
          <w:tcPr>
            <w:tcW w:w="48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Funding Factor</w:t>
            </w:r>
          </w:p>
        </w:tc>
        <w:tc>
          <w:tcPr>
            <w:tcW w:w="16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1.1</w:t>
            </w:r>
          </w:p>
        </w:tc>
        <w:tc>
          <w:tcPr>
            <w:tcW w:w="16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1.1</w:t>
            </w:r>
          </w:p>
        </w:tc>
        <w:tc>
          <w:tcPr>
            <w:tcW w:w="16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0.7</w:t>
            </w:r>
          </w:p>
        </w:tc>
        <w:tc>
          <w:tcPr>
            <w:tcW w:w="15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r>
      <w:tr>
        <w:trPr>
          <w:trHeight w:val="232"/>
        </w:trPr>
        <w:tc>
          <w:tcPr>
            <w:tcW w:w="48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Individual Performance Factor</w:t>
            </w:r>
          </w:p>
        </w:tc>
        <w:tc>
          <w:tcPr>
            <w:tcW w:w="16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1.0570</w:t>
            </w:r>
          </w:p>
        </w:tc>
        <w:tc>
          <w:tcPr>
            <w:tcW w:w="16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0.9197</w:t>
            </w:r>
          </w:p>
        </w:tc>
        <w:tc>
          <w:tcPr>
            <w:tcW w:w="16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0.7717</w:t>
            </w:r>
          </w:p>
        </w:tc>
        <w:tc>
          <w:tcPr>
            <w:tcW w:w="15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0.5569</w:t>
            </w:r>
          </w:p>
        </w:tc>
      </w:tr>
      <w:tr>
        <w:trPr>
          <w:trHeight w:val="239"/>
        </w:trPr>
        <w:tc>
          <w:tcPr>
            <w:tcW w:w="48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Actual Bonus ($)</w:t>
            </w:r>
          </w:p>
        </w:tc>
        <w:tc>
          <w:tcPr>
            <w:tcW w:w="16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$126,718</w:t>
            </w:r>
          </w:p>
        </w:tc>
        <w:tc>
          <w:tcPr>
            <w:tcW w:w="16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$112,778</w:t>
            </w:r>
          </w:p>
        </w:tc>
        <w:tc>
          <w:tcPr>
            <w:tcW w:w="16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$31,254</w:t>
            </w:r>
          </w:p>
        </w:tc>
        <w:tc>
          <w:tcPr>
            <w:tcW w:w="15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w:t>
            </w:r>
          </w:p>
        </w:tc>
      </w:tr>
    </w:tbl>
    <w:p>
      <w:pPr>
        <w:spacing w:after="0" w:line="341"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Based on our quarterly achievement during 2023 and the individual performance of our NEOs each quarter, the Compensation Committee awarded our NEOs the quarterly bonuses shown in the chart below:</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280" w:type="dxa"/>
            <w:vAlign w:val="bottom"/>
            <w:tcBorders>
              <w:left w:val="single" w:sz="8" w:color="3C3C3C"/>
              <w:right w:val="single" w:sz="8" w:color="3C3C3C"/>
            </w:tcBorders>
            <w:vMerge w:val="restart"/>
            <w:shd w:val="clear" w:color="auto" w:fill="3C3C3C"/>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12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7"/>
              </w:rPr>
              <w:t>2023 Target</w:t>
            </w:r>
          </w:p>
        </w:tc>
        <w:tc>
          <w:tcPr>
            <w:tcW w:w="1300" w:type="dxa"/>
            <w:vAlign w:val="bottom"/>
            <w:tcBorders>
              <w:right w:val="single" w:sz="8" w:color="3C3C3C"/>
            </w:tcBorders>
            <w:shd w:val="clear" w:color="auto" w:fill="3C3C3C"/>
          </w:tcPr>
          <w:p>
            <w:pPr>
              <w:ind w:left="60"/>
              <w:spacing w:after="0"/>
              <w:rPr>
                <w:sz w:val="20"/>
                <w:szCs w:val="20"/>
                <w:color w:val="auto"/>
              </w:rPr>
            </w:pPr>
            <w:r>
              <w:rPr>
                <w:rFonts w:ascii="Arial" w:cs="Arial" w:eastAsia="Arial" w:hAnsi="Arial"/>
                <w:sz w:val="14"/>
                <w:szCs w:val="14"/>
                <w:b w:val="1"/>
                <w:bCs w:val="1"/>
                <w:color w:val="FFFFFF"/>
              </w:rPr>
              <w:t>Q1 Actual Bonus</w:t>
            </w:r>
          </w:p>
        </w:tc>
        <w:tc>
          <w:tcPr>
            <w:tcW w:w="1280" w:type="dxa"/>
            <w:vAlign w:val="bottom"/>
            <w:tcBorders>
              <w:right w:val="single" w:sz="8" w:color="3C3C3C"/>
            </w:tcBorders>
            <w:shd w:val="clear" w:color="auto" w:fill="3C3C3C"/>
          </w:tcPr>
          <w:p>
            <w:pPr>
              <w:ind w:left="60"/>
              <w:spacing w:after="0"/>
              <w:rPr>
                <w:sz w:val="20"/>
                <w:szCs w:val="20"/>
                <w:color w:val="auto"/>
              </w:rPr>
            </w:pPr>
            <w:r>
              <w:rPr>
                <w:rFonts w:ascii="Arial" w:cs="Arial" w:eastAsia="Arial" w:hAnsi="Arial"/>
                <w:sz w:val="14"/>
                <w:szCs w:val="14"/>
                <w:b w:val="1"/>
                <w:bCs w:val="1"/>
                <w:color w:val="FFFFFF"/>
              </w:rPr>
              <w:t>Q2 Actual Bonus</w:t>
            </w:r>
          </w:p>
        </w:tc>
        <w:tc>
          <w:tcPr>
            <w:tcW w:w="1300" w:type="dxa"/>
            <w:vAlign w:val="bottom"/>
            <w:tcBorders>
              <w:right w:val="single" w:sz="8" w:color="3C3C3C"/>
            </w:tcBorders>
            <w:shd w:val="clear" w:color="auto" w:fill="3C3C3C"/>
          </w:tcPr>
          <w:p>
            <w:pPr>
              <w:ind w:left="80"/>
              <w:spacing w:after="0"/>
              <w:rPr>
                <w:sz w:val="20"/>
                <w:szCs w:val="20"/>
                <w:color w:val="auto"/>
              </w:rPr>
            </w:pPr>
            <w:r>
              <w:rPr>
                <w:rFonts w:ascii="Arial" w:cs="Arial" w:eastAsia="Arial" w:hAnsi="Arial"/>
                <w:sz w:val="14"/>
                <w:szCs w:val="14"/>
                <w:b w:val="1"/>
                <w:bCs w:val="1"/>
                <w:color w:val="FFFFFF"/>
              </w:rPr>
              <w:t>Q3 Actual Bonus</w:t>
            </w:r>
          </w:p>
        </w:tc>
        <w:tc>
          <w:tcPr>
            <w:tcW w:w="1300" w:type="dxa"/>
            <w:vAlign w:val="bottom"/>
            <w:tcBorders>
              <w:right w:val="single" w:sz="8" w:color="3C3C3C"/>
            </w:tcBorders>
            <w:shd w:val="clear" w:color="auto" w:fill="3C3C3C"/>
          </w:tcPr>
          <w:p>
            <w:pPr>
              <w:jc w:val="right"/>
              <w:ind w:right="45"/>
              <w:spacing w:after="0"/>
              <w:rPr>
                <w:sz w:val="20"/>
                <w:szCs w:val="20"/>
                <w:color w:val="auto"/>
              </w:rPr>
            </w:pPr>
            <w:r>
              <w:rPr>
                <w:rFonts w:ascii="Arial" w:cs="Arial" w:eastAsia="Arial" w:hAnsi="Arial"/>
                <w:sz w:val="14"/>
                <w:szCs w:val="14"/>
                <w:b w:val="1"/>
                <w:bCs w:val="1"/>
                <w:color w:val="FFFFFF"/>
              </w:rPr>
              <w:t>Q4 Actual Bonus</w:t>
            </w:r>
          </w:p>
        </w:tc>
        <w:tc>
          <w:tcPr>
            <w:tcW w:w="12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Aggregate 2023</w:t>
            </w:r>
          </w:p>
        </w:tc>
        <w:tc>
          <w:tcPr>
            <w:tcW w:w="124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Aggregate Bonus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28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12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Annual Bonus ($)</w:t>
            </w:r>
          </w:p>
        </w:tc>
        <w:tc>
          <w:tcPr>
            <w:tcW w:w="13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28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3"/>
              </w:rPr>
              <w:t>($)</w:t>
            </w:r>
          </w:p>
        </w:tc>
        <w:tc>
          <w:tcPr>
            <w:tcW w:w="13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300" w:type="dxa"/>
            <w:vAlign w:val="bottom"/>
            <w:tcBorders>
              <w:right w:val="single" w:sz="8" w:color="3C3C3C"/>
            </w:tcBorders>
            <w:vMerge w:val="restart"/>
            <w:shd w:val="clear" w:color="auto" w:fill="3C3C3C"/>
          </w:tcPr>
          <w:p>
            <w:pPr>
              <w:jc w:val="right"/>
              <w:ind w:right="505"/>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Bonus ($)</w:t>
            </w:r>
          </w:p>
        </w:tc>
        <w:tc>
          <w:tcPr>
            <w:tcW w:w="124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as % of Target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3C3C3C"/>
              <w:right w:val="single" w:sz="8" w:color="3C3C3C"/>
            </w:tcBorders>
            <w:shd w:val="clear" w:color="auto" w:fill="3C3C3C"/>
          </w:tcPr>
          <w:p>
            <w:pPr>
              <w:spacing w:after="0"/>
              <w:rPr>
                <w:sz w:val="9"/>
                <w:szCs w:val="9"/>
                <w:color w:val="auto"/>
              </w:rPr>
            </w:pPr>
          </w:p>
        </w:tc>
        <w:tc>
          <w:tcPr>
            <w:tcW w:w="1260" w:type="dxa"/>
            <w:vAlign w:val="bottom"/>
            <w:tcBorders>
              <w:right w:val="single" w:sz="8" w:color="3C3C3C"/>
            </w:tcBorders>
            <w:vMerge w:val="continue"/>
            <w:shd w:val="clear" w:color="auto" w:fill="3C3C3C"/>
          </w:tcPr>
          <w:p>
            <w:pPr>
              <w:spacing w:after="0"/>
              <w:rPr>
                <w:sz w:val="9"/>
                <w:szCs w:val="9"/>
                <w:color w:val="auto"/>
              </w:rPr>
            </w:pPr>
          </w:p>
        </w:tc>
        <w:tc>
          <w:tcPr>
            <w:tcW w:w="1300" w:type="dxa"/>
            <w:vAlign w:val="bottom"/>
            <w:tcBorders>
              <w:right w:val="single" w:sz="8" w:color="3C3C3C"/>
            </w:tcBorders>
            <w:vMerge w:val="continue"/>
            <w:shd w:val="clear" w:color="auto" w:fill="3C3C3C"/>
          </w:tcPr>
          <w:p>
            <w:pPr>
              <w:spacing w:after="0"/>
              <w:rPr>
                <w:sz w:val="9"/>
                <w:szCs w:val="9"/>
                <w:color w:val="auto"/>
              </w:rPr>
            </w:pPr>
          </w:p>
        </w:tc>
        <w:tc>
          <w:tcPr>
            <w:tcW w:w="1280" w:type="dxa"/>
            <w:vAlign w:val="bottom"/>
            <w:tcBorders>
              <w:right w:val="single" w:sz="8" w:color="3C3C3C"/>
            </w:tcBorders>
            <w:vMerge w:val="continue"/>
            <w:shd w:val="clear" w:color="auto" w:fill="3C3C3C"/>
          </w:tcPr>
          <w:p>
            <w:pPr>
              <w:spacing w:after="0"/>
              <w:rPr>
                <w:sz w:val="9"/>
                <w:szCs w:val="9"/>
                <w:color w:val="auto"/>
              </w:rPr>
            </w:pPr>
          </w:p>
        </w:tc>
        <w:tc>
          <w:tcPr>
            <w:tcW w:w="1300" w:type="dxa"/>
            <w:vAlign w:val="bottom"/>
            <w:tcBorders>
              <w:right w:val="single" w:sz="8" w:color="3C3C3C"/>
            </w:tcBorders>
            <w:vMerge w:val="continue"/>
            <w:shd w:val="clear" w:color="auto" w:fill="3C3C3C"/>
          </w:tcPr>
          <w:p>
            <w:pPr>
              <w:spacing w:after="0"/>
              <w:rPr>
                <w:sz w:val="9"/>
                <w:szCs w:val="9"/>
                <w:color w:val="auto"/>
              </w:rPr>
            </w:pPr>
          </w:p>
        </w:tc>
        <w:tc>
          <w:tcPr>
            <w:tcW w:w="1300" w:type="dxa"/>
            <w:vAlign w:val="bottom"/>
            <w:tcBorders>
              <w:right w:val="single" w:sz="8" w:color="3C3C3C"/>
            </w:tcBorders>
            <w:vMerge w:val="continue"/>
            <w:shd w:val="clear" w:color="auto" w:fill="3C3C3C"/>
          </w:tcPr>
          <w:p>
            <w:pPr>
              <w:spacing w:after="0"/>
              <w:rPr>
                <w:sz w:val="9"/>
                <w:szCs w:val="9"/>
                <w:color w:val="auto"/>
              </w:rPr>
            </w:pPr>
          </w:p>
        </w:tc>
        <w:tc>
          <w:tcPr>
            <w:tcW w:w="1240" w:type="dxa"/>
            <w:vAlign w:val="bottom"/>
            <w:tcBorders>
              <w:right w:val="single" w:sz="8" w:color="3C3C3C"/>
            </w:tcBorders>
            <w:vMerge w:val="continue"/>
            <w:shd w:val="clear" w:color="auto" w:fill="3C3C3C"/>
          </w:tcPr>
          <w:p>
            <w:pPr>
              <w:spacing w:after="0"/>
              <w:rPr>
                <w:sz w:val="9"/>
                <w:szCs w:val="9"/>
                <w:color w:val="auto"/>
              </w:rPr>
            </w:pPr>
          </w:p>
        </w:tc>
        <w:tc>
          <w:tcPr>
            <w:tcW w:w="1240" w:type="dxa"/>
            <w:vAlign w:val="bottom"/>
            <w:vMerge w:val="continue"/>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w:t>
            </w:r>
          </w:p>
        </w:tc>
        <w:tc>
          <w:tcPr>
            <w:tcW w:w="1260" w:type="dxa"/>
            <w:vAlign w:val="bottom"/>
            <w:tcBorders>
              <w:right w:val="single" w:sz="8" w:color="7D7D7D"/>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6"/>
              </w:rPr>
              <w:t>450,000</w:t>
            </w:r>
          </w:p>
        </w:tc>
        <w:tc>
          <w:tcPr>
            <w:tcW w:w="1300" w:type="dxa"/>
            <w:vAlign w:val="bottom"/>
            <w:tcBorders>
              <w:right w:val="single" w:sz="8" w:color="7D7D7D"/>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6"/>
              </w:rPr>
              <w:t>126,718</w:t>
            </w:r>
          </w:p>
        </w:tc>
        <w:tc>
          <w:tcPr>
            <w:tcW w:w="1280" w:type="dxa"/>
            <w:vAlign w:val="bottom"/>
            <w:tcBorders>
              <w:right w:val="single" w:sz="8" w:color="7D7D7D"/>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6"/>
              </w:rPr>
              <w:t>112,778</w:t>
            </w:r>
          </w:p>
        </w:tc>
        <w:tc>
          <w:tcPr>
            <w:tcW w:w="1300" w:type="dxa"/>
            <w:vAlign w:val="bottom"/>
            <w:tcBorders>
              <w:right w:val="single" w:sz="8" w:color="7D7D7D"/>
            </w:tcBorders>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31,254</w:t>
            </w:r>
          </w:p>
        </w:tc>
        <w:tc>
          <w:tcPr>
            <w:tcW w:w="1300" w:type="dxa"/>
            <w:vAlign w:val="bottom"/>
            <w:tcBorders>
              <w:right w:val="single" w:sz="8" w:color="7D7D7D"/>
            </w:tcBorders>
            <w:vMerge w:val="restart"/>
            <w:shd w:val="clear" w:color="auto" w:fill="FAF6EF"/>
          </w:tcPr>
          <w:p>
            <w:pPr>
              <w:jc w:val="right"/>
              <w:ind w:right="505"/>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7D7D7D"/>
            </w:tcBorders>
            <w:vMerge w:val="restart"/>
            <w:shd w:val="clear" w:color="auto" w:fill="FAF6EF"/>
          </w:tcPr>
          <w:p>
            <w:pPr>
              <w:jc w:val="center"/>
              <w:spacing w:after="0"/>
              <w:rPr>
                <w:sz w:val="20"/>
                <w:szCs w:val="20"/>
                <w:color w:val="auto"/>
              </w:rPr>
            </w:pPr>
            <w:r>
              <w:rPr>
                <w:rFonts w:ascii="Arial" w:cs="Arial" w:eastAsia="Arial" w:hAnsi="Arial"/>
                <w:sz w:val="16"/>
                <w:szCs w:val="16"/>
                <w:color w:val="auto"/>
              </w:rPr>
              <w:t>270,750</w:t>
            </w:r>
          </w:p>
        </w:tc>
        <w:tc>
          <w:tcPr>
            <w:tcW w:w="12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6"/>
              </w:rPr>
              <w:t>60.2</w:t>
            </w:r>
          </w:p>
        </w:tc>
        <w:tc>
          <w:tcPr>
            <w:tcW w:w="20" w:type="dxa"/>
            <w:vAlign w:val="bottom"/>
            <w:shd w:val="clear" w:color="auto" w:fill="7D7D7D"/>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280" w:type="dxa"/>
            <w:vAlign w:val="bottom"/>
            <w:tcBorders>
              <w:left w:val="single" w:sz="8" w:color="7D7D7D"/>
              <w:right w:val="single" w:sz="8" w:color="7D7D7D"/>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Kothandaraman</w:t>
            </w:r>
          </w:p>
        </w:tc>
        <w:tc>
          <w:tcPr>
            <w:tcW w:w="1260" w:type="dxa"/>
            <w:vAlign w:val="bottom"/>
            <w:tcBorders>
              <w:right w:val="single" w:sz="8" w:color="7D7D7D"/>
            </w:tcBorders>
            <w:vMerge w:val="continue"/>
            <w:shd w:val="clear" w:color="auto" w:fill="FAF6EF"/>
          </w:tcPr>
          <w:p>
            <w:pPr>
              <w:spacing w:after="0"/>
              <w:rPr>
                <w:sz w:val="10"/>
                <w:szCs w:val="10"/>
                <w:color w:val="auto"/>
              </w:rPr>
            </w:pPr>
          </w:p>
        </w:tc>
        <w:tc>
          <w:tcPr>
            <w:tcW w:w="1300" w:type="dxa"/>
            <w:vAlign w:val="bottom"/>
            <w:tcBorders>
              <w:right w:val="single" w:sz="8" w:color="7D7D7D"/>
            </w:tcBorders>
            <w:vMerge w:val="continue"/>
            <w:shd w:val="clear" w:color="auto" w:fill="FAF6EF"/>
          </w:tcPr>
          <w:p>
            <w:pPr>
              <w:spacing w:after="0"/>
              <w:rPr>
                <w:sz w:val="10"/>
                <w:szCs w:val="10"/>
                <w:color w:val="auto"/>
              </w:rPr>
            </w:pPr>
          </w:p>
        </w:tc>
        <w:tc>
          <w:tcPr>
            <w:tcW w:w="1280" w:type="dxa"/>
            <w:vAlign w:val="bottom"/>
            <w:tcBorders>
              <w:right w:val="single" w:sz="8" w:color="7D7D7D"/>
            </w:tcBorders>
            <w:vMerge w:val="continue"/>
            <w:shd w:val="clear" w:color="auto" w:fill="FAF6EF"/>
          </w:tcPr>
          <w:p>
            <w:pPr>
              <w:spacing w:after="0"/>
              <w:rPr>
                <w:sz w:val="10"/>
                <w:szCs w:val="10"/>
                <w:color w:val="auto"/>
              </w:rPr>
            </w:pPr>
          </w:p>
        </w:tc>
        <w:tc>
          <w:tcPr>
            <w:tcW w:w="1300" w:type="dxa"/>
            <w:vAlign w:val="bottom"/>
            <w:tcBorders>
              <w:right w:val="single" w:sz="8" w:color="7D7D7D"/>
            </w:tcBorders>
            <w:vMerge w:val="continue"/>
            <w:shd w:val="clear" w:color="auto" w:fill="FAF6EF"/>
          </w:tcPr>
          <w:p>
            <w:pPr>
              <w:spacing w:after="0"/>
              <w:rPr>
                <w:sz w:val="10"/>
                <w:szCs w:val="10"/>
                <w:color w:val="auto"/>
              </w:rPr>
            </w:pPr>
          </w:p>
        </w:tc>
        <w:tc>
          <w:tcPr>
            <w:tcW w:w="1300" w:type="dxa"/>
            <w:vAlign w:val="bottom"/>
            <w:tcBorders>
              <w:right w:val="single" w:sz="8" w:color="7D7D7D"/>
            </w:tcBorders>
            <w:vMerge w:val="continue"/>
            <w:shd w:val="clear" w:color="auto" w:fill="FAF6EF"/>
          </w:tcPr>
          <w:p>
            <w:pPr>
              <w:spacing w:after="0"/>
              <w:rPr>
                <w:sz w:val="10"/>
                <w:szCs w:val="10"/>
                <w:color w:val="auto"/>
              </w:rPr>
            </w:pPr>
          </w:p>
        </w:tc>
        <w:tc>
          <w:tcPr>
            <w:tcW w:w="1240" w:type="dxa"/>
            <w:vAlign w:val="bottom"/>
            <w:tcBorders>
              <w:right w:val="single" w:sz="8" w:color="7D7D7D"/>
            </w:tcBorders>
            <w:vMerge w:val="continue"/>
            <w:shd w:val="clear" w:color="auto" w:fill="FAF6EF"/>
          </w:tcPr>
          <w:p>
            <w:pPr>
              <w:spacing w:after="0"/>
              <w:rPr>
                <w:sz w:val="10"/>
                <w:szCs w:val="10"/>
                <w:color w:val="auto"/>
              </w:rPr>
            </w:pPr>
          </w:p>
        </w:tc>
        <w:tc>
          <w:tcPr>
            <w:tcW w:w="1240" w:type="dxa"/>
            <w:vAlign w:val="bottom"/>
            <w:vMerge w:val="continue"/>
            <w:shd w:val="clear" w:color="auto" w:fill="FAF6EF"/>
          </w:tcPr>
          <w:p>
            <w:pPr>
              <w:spacing w:after="0"/>
              <w:rPr>
                <w:sz w:val="10"/>
                <w:szCs w:val="10"/>
                <w:color w:val="auto"/>
              </w:rPr>
            </w:pP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280" w:type="dxa"/>
            <w:vAlign w:val="bottom"/>
            <w:tcBorders>
              <w:left w:val="single" w:sz="8" w:color="7D7D7D"/>
              <w:bottom w:val="single" w:sz="8" w:color="FAF6EF"/>
              <w:right w:val="single" w:sz="8" w:color="7D7D7D"/>
            </w:tcBorders>
            <w:vMerge w:val="continue"/>
            <w:shd w:val="clear" w:color="auto" w:fill="FAF6EF"/>
          </w:tcPr>
          <w:p>
            <w:pPr>
              <w:spacing w:after="0"/>
              <w:rPr>
                <w:sz w:val="8"/>
                <w:szCs w:val="8"/>
                <w:color w:val="auto"/>
              </w:rPr>
            </w:pPr>
          </w:p>
        </w:tc>
        <w:tc>
          <w:tcPr>
            <w:tcW w:w="1260" w:type="dxa"/>
            <w:vAlign w:val="bottom"/>
            <w:tcBorders>
              <w:bottom w:val="single" w:sz="8" w:color="FAF6EF"/>
              <w:right w:val="single" w:sz="8" w:color="7D7D7D"/>
            </w:tcBorders>
            <w:shd w:val="clear" w:color="auto" w:fill="FAF6EF"/>
          </w:tcPr>
          <w:p>
            <w:pPr>
              <w:spacing w:after="0"/>
              <w:rPr>
                <w:sz w:val="8"/>
                <w:szCs w:val="8"/>
                <w:color w:val="auto"/>
              </w:rPr>
            </w:pPr>
          </w:p>
        </w:tc>
        <w:tc>
          <w:tcPr>
            <w:tcW w:w="1300" w:type="dxa"/>
            <w:vAlign w:val="bottom"/>
            <w:tcBorders>
              <w:bottom w:val="single" w:sz="8" w:color="FAF6EF"/>
              <w:right w:val="single" w:sz="8" w:color="7D7D7D"/>
            </w:tcBorders>
            <w:shd w:val="clear" w:color="auto" w:fill="FAF6EF"/>
          </w:tcPr>
          <w:p>
            <w:pPr>
              <w:spacing w:after="0"/>
              <w:rPr>
                <w:sz w:val="8"/>
                <w:szCs w:val="8"/>
                <w:color w:val="auto"/>
              </w:rPr>
            </w:pPr>
          </w:p>
        </w:tc>
        <w:tc>
          <w:tcPr>
            <w:tcW w:w="1280" w:type="dxa"/>
            <w:vAlign w:val="bottom"/>
            <w:tcBorders>
              <w:bottom w:val="single" w:sz="8" w:color="FAF6EF"/>
              <w:right w:val="single" w:sz="8" w:color="7D7D7D"/>
            </w:tcBorders>
            <w:shd w:val="clear" w:color="auto" w:fill="FAF6EF"/>
          </w:tcPr>
          <w:p>
            <w:pPr>
              <w:spacing w:after="0"/>
              <w:rPr>
                <w:sz w:val="8"/>
                <w:szCs w:val="8"/>
                <w:color w:val="auto"/>
              </w:rPr>
            </w:pPr>
          </w:p>
        </w:tc>
        <w:tc>
          <w:tcPr>
            <w:tcW w:w="1300" w:type="dxa"/>
            <w:vAlign w:val="bottom"/>
            <w:tcBorders>
              <w:bottom w:val="single" w:sz="8" w:color="FAF6EF"/>
              <w:right w:val="single" w:sz="8" w:color="7D7D7D"/>
            </w:tcBorders>
            <w:shd w:val="clear" w:color="auto" w:fill="FAF6EF"/>
          </w:tcPr>
          <w:p>
            <w:pPr>
              <w:spacing w:after="0"/>
              <w:rPr>
                <w:sz w:val="8"/>
                <w:szCs w:val="8"/>
                <w:color w:val="auto"/>
              </w:rPr>
            </w:pPr>
          </w:p>
        </w:tc>
        <w:tc>
          <w:tcPr>
            <w:tcW w:w="1300" w:type="dxa"/>
            <w:vAlign w:val="bottom"/>
            <w:tcBorders>
              <w:bottom w:val="single" w:sz="8" w:color="FAF6EF"/>
              <w:right w:val="single" w:sz="8" w:color="7D7D7D"/>
            </w:tcBorders>
            <w:shd w:val="clear" w:color="auto" w:fill="FAF6EF"/>
          </w:tcPr>
          <w:p>
            <w:pPr>
              <w:spacing w:after="0"/>
              <w:rPr>
                <w:sz w:val="8"/>
                <w:szCs w:val="8"/>
                <w:color w:val="auto"/>
              </w:rPr>
            </w:pPr>
          </w:p>
        </w:tc>
        <w:tc>
          <w:tcPr>
            <w:tcW w:w="1240" w:type="dxa"/>
            <w:vAlign w:val="bottom"/>
            <w:tcBorders>
              <w:bottom w:val="single" w:sz="8" w:color="FAF6EF"/>
              <w:right w:val="single" w:sz="8" w:color="7D7D7D"/>
            </w:tcBorders>
            <w:shd w:val="clear" w:color="auto" w:fill="FAF6EF"/>
          </w:tcPr>
          <w:p>
            <w:pPr>
              <w:spacing w:after="0"/>
              <w:rPr>
                <w:sz w:val="8"/>
                <w:szCs w:val="8"/>
                <w:color w:val="auto"/>
              </w:rPr>
            </w:pPr>
          </w:p>
        </w:tc>
        <w:tc>
          <w:tcPr>
            <w:tcW w:w="1240" w:type="dxa"/>
            <w:vAlign w:val="bottom"/>
            <w:tcBorders>
              <w:bottom w:val="single" w:sz="8" w:color="FAF6EF"/>
            </w:tcBorders>
            <w:shd w:val="clear" w:color="auto" w:fill="FAF6EF"/>
          </w:tcPr>
          <w:p>
            <w:pPr>
              <w:spacing w:after="0"/>
              <w:rPr>
                <w:sz w:val="8"/>
                <w:szCs w:val="8"/>
                <w:color w:val="auto"/>
              </w:rPr>
            </w:pPr>
          </w:p>
        </w:tc>
        <w:tc>
          <w:tcPr>
            <w:tcW w:w="20" w:type="dxa"/>
            <w:vAlign w:val="bottom"/>
            <w:tcBorders>
              <w:bottom w:val="single" w:sz="8" w:color="7D7D7D"/>
            </w:tcBorders>
            <w:shd w:val="clear" w:color="auto" w:fill="7D7D7D"/>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28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2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6"/>
              </w:rPr>
              <w:t>275,625</w:t>
            </w:r>
          </w:p>
        </w:tc>
        <w:tc>
          <w:tcPr>
            <w:tcW w:w="13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76,339</w:t>
            </w:r>
          </w:p>
        </w:tc>
        <w:tc>
          <w:tcPr>
            <w:tcW w:w="128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78,946</w:t>
            </w:r>
          </w:p>
        </w:tc>
        <w:tc>
          <w:tcPr>
            <w:tcW w:w="13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21,418</w:t>
            </w:r>
          </w:p>
        </w:tc>
        <w:tc>
          <w:tcPr>
            <w:tcW w:w="1300" w:type="dxa"/>
            <w:vAlign w:val="bottom"/>
            <w:tcBorders>
              <w:right w:val="single" w:sz="8" w:color="7D7D7D"/>
            </w:tcBorders>
          </w:tcPr>
          <w:p>
            <w:pPr>
              <w:jc w:val="right"/>
              <w:ind w:right="505"/>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176,703</w:t>
            </w:r>
          </w:p>
        </w:tc>
        <w:tc>
          <w:tcPr>
            <w:tcW w:w="1240" w:type="dxa"/>
            <w:vAlign w:val="bottom"/>
          </w:tcPr>
          <w:p>
            <w:pPr>
              <w:jc w:val="center"/>
              <w:spacing w:after="0"/>
              <w:rPr>
                <w:sz w:val="20"/>
                <w:szCs w:val="20"/>
                <w:color w:val="auto"/>
              </w:rPr>
            </w:pPr>
            <w:r>
              <w:rPr>
                <w:rFonts w:ascii="Arial" w:cs="Arial" w:eastAsia="Arial" w:hAnsi="Arial"/>
                <w:sz w:val="16"/>
                <w:szCs w:val="16"/>
                <w:color w:val="auto"/>
                <w:w w:val="96"/>
              </w:rPr>
              <w:t>64.1</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12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300,000</w:t>
            </w:r>
          </w:p>
        </w:tc>
        <w:tc>
          <w:tcPr>
            <w:tcW w:w="13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76,818</w:t>
            </w:r>
          </w:p>
        </w:tc>
        <w:tc>
          <w:tcPr>
            <w:tcW w:w="12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64,419</w:t>
            </w:r>
          </w:p>
        </w:tc>
        <w:tc>
          <w:tcPr>
            <w:tcW w:w="13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17,218</w:t>
            </w:r>
          </w:p>
        </w:tc>
        <w:tc>
          <w:tcPr>
            <w:tcW w:w="1300" w:type="dxa"/>
            <w:vAlign w:val="bottom"/>
            <w:tcBorders>
              <w:right w:val="single" w:sz="8" w:color="7D7D7D"/>
            </w:tcBorders>
            <w:shd w:val="clear" w:color="auto" w:fill="FAF6EF"/>
          </w:tcPr>
          <w:p>
            <w:pPr>
              <w:jc w:val="right"/>
              <w:ind w:right="505"/>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158,455</w:t>
            </w:r>
          </w:p>
        </w:tc>
        <w:tc>
          <w:tcPr>
            <w:tcW w:w="12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6"/>
              </w:rPr>
              <w:t>52.8</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28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Jeffrey McNeil</w:t>
            </w:r>
          </w:p>
        </w:tc>
        <w:tc>
          <w:tcPr>
            <w:tcW w:w="12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6"/>
              </w:rPr>
              <w:t>193,750</w:t>
            </w:r>
          </w:p>
        </w:tc>
        <w:tc>
          <w:tcPr>
            <w:tcW w:w="13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71,316</w:t>
            </w:r>
          </w:p>
        </w:tc>
        <w:tc>
          <w:tcPr>
            <w:tcW w:w="128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28,612</w:t>
            </w:r>
          </w:p>
        </w:tc>
        <w:tc>
          <w:tcPr>
            <w:tcW w:w="13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6,075</w:t>
            </w:r>
          </w:p>
        </w:tc>
        <w:tc>
          <w:tcPr>
            <w:tcW w:w="1300" w:type="dxa"/>
            <w:vAlign w:val="bottom"/>
            <w:tcBorders>
              <w:right w:val="single" w:sz="8" w:color="7D7D7D"/>
            </w:tcBorders>
          </w:tcPr>
          <w:p>
            <w:pPr>
              <w:jc w:val="right"/>
              <w:ind w:right="505"/>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106,003</w:t>
            </w:r>
          </w:p>
        </w:tc>
        <w:tc>
          <w:tcPr>
            <w:tcW w:w="1240" w:type="dxa"/>
            <w:vAlign w:val="bottom"/>
          </w:tcPr>
          <w:p>
            <w:pPr>
              <w:jc w:val="center"/>
              <w:spacing w:after="0"/>
              <w:rPr>
                <w:sz w:val="20"/>
                <w:szCs w:val="20"/>
                <w:color w:val="auto"/>
              </w:rPr>
            </w:pPr>
            <w:r>
              <w:rPr>
                <w:rFonts w:ascii="Arial" w:cs="Arial" w:eastAsia="Arial" w:hAnsi="Arial"/>
                <w:sz w:val="16"/>
                <w:szCs w:val="16"/>
                <w:color w:val="auto"/>
                <w:w w:val="96"/>
              </w:rPr>
              <w:t>54.7</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Equity-Based Incentive Compensation</w:t>
      </w:r>
    </w:p>
    <w:p>
      <w:pPr>
        <w:spacing w:after="0" w:line="125"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The Compensation Committee awarded equity in 2023 in the form of time-based RSUs and PSUs under the 2023 PSP to reward top talent for performance and to incentivize their retention. In 2023, the Compensation Committee provided reasonable increases in the target value of annual equity awards for all NEOs, including our CEO, to reward them for exceptional financial performance in 2022. The 2023 PSP was designed to encourage our executive staff and other selected top talent, including our NEOs, to focus on initiatives that promoted the achievement of specified, forward-looking, annual goals that were critical to lay the foundation for our success over the longer term. Also, starting in 2023, the Compensation Committee replaced the PSU award based on annual individual goals with a PSU award that could be earned based on the achievement of relative TSR performance goals over a three-year performance period.</w:t>
      </w: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68" w:right="31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The Compensation Committee allocated the equity award value under the 2023 PSP to PSUs and RSUs, as follows:</w:t>
      </w:r>
    </w:p>
    <w:p>
      <w:pPr>
        <w:spacing w:after="0" w:line="195" w:lineRule="exact"/>
        <w:rPr>
          <w:sz w:val="20"/>
          <w:szCs w:val="20"/>
          <w:color w:val="auto"/>
        </w:rPr>
      </w:pPr>
    </w:p>
    <w:p>
      <w:pPr>
        <w:ind w:left="300" w:hanging="139"/>
        <w:spacing w:after="0"/>
        <w:tabs>
          <w:tab w:leader="none" w:pos="300" w:val="left"/>
        </w:tabs>
        <w:numPr>
          <w:ilvl w:val="0"/>
          <w:numId w:val="35"/>
        </w:numPr>
        <w:rPr>
          <w:rFonts w:ascii="Arial" w:cs="Arial" w:eastAsia="Arial" w:hAnsi="Arial"/>
          <w:sz w:val="12"/>
          <w:szCs w:val="12"/>
          <w:color w:val="auto"/>
        </w:rPr>
      </w:pPr>
      <w:r>
        <w:rPr>
          <w:rFonts w:ascii="Arial" w:cs="Arial" w:eastAsia="Arial" w:hAnsi="Arial"/>
          <w:sz w:val="16"/>
          <w:szCs w:val="16"/>
          <w:color w:val="auto"/>
        </w:rPr>
        <w:t>33% in the form of PSUs that vest based on the level of achievement of the Annual CEO SMART Goals;</w:t>
      </w:r>
    </w:p>
    <w:p>
      <w:pPr>
        <w:spacing w:after="0" w:line="90" w:lineRule="exact"/>
        <w:rPr>
          <w:rFonts w:ascii="Arial" w:cs="Arial" w:eastAsia="Arial" w:hAnsi="Arial"/>
          <w:sz w:val="12"/>
          <w:szCs w:val="12"/>
          <w:color w:val="auto"/>
        </w:rPr>
      </w:pPr>
    </w:p>
    <w:p>
      <w:pPr>
        <w:ind w:left="320" w:right="260" w:hanging="159"/>
        <w:spacing w:after="0" w:line="301" w:lineRule="auto"/>
        <w:tabs>
          <w:tab w:leader="none" w:pos="297" w:val="left"/>
        </w:tabs>
        <w:numPr>
          <w:ilvl w:val="0"/>
          <w:numId w:val="35"/>
        </w:numPr>
        <w:rPr>
          <w:rFonts w:ascii="Arial" w:cs="Arial" w:eastAsia="Arial" w:hAnsi="Arial"/>
          <w:sz w:val="12"/>
          <w:szCs w:val="12"/>
          <w:color w:val="auto"/>
        </w:rPr>
      </w:pPr>
      <w:r>
        <w:rPr>
          <w:rFonts w:ascii="Arial" w:cs="Arial" w:eastAsia="Arial" w:hAnsi="Arial"/>
          <w:sz w:val="16"/>
          <w:szCs w:val="16"/>
          <w:color w:val="auto"/>
        </w:rPr>
        <w:t>34% in the form of PSUs that vest based on the level of achievement of the TSR of Enphase relative to the TSR performance of the S&amp;P 500 over a three-year period; and</w:t>
      </w:r>
    </w:p>
    <w:p>
      <w:pPr>
        <w:spacing w:after="0" w:line="22" w:lineRule="exact"/>
        <w:rPr>
          <w:rFonts w:ascii="Arial" w:cs="Arial" w:eastAsia="Arial" w:hAnsi="Arial"/>
          <w:sz w:val="12"/>
          <w:szCs w:val="12"/>
          <w:color w:val="auto"/>
        </w:rPr>
      </w:pPr>
    </w:p>
    <w:p>
      <w:pPr>
        <w:ind w:left="300" w:hanging="139"/>
        <w:spacing w:after="0"/>
        <w:tabs>
          <w:tab w:leader="none" w:pos="300" w:val="left"/>
        </w:tabs>
        <w:numPr>
          <w:ilvl w:val="0"/>
          <w:numId w:val="35"/>
        </w:numPr>
        <w:rPr>
          <w:rFonts w:ascii="Arial" w:cs="Arial" w:eastAsia="Arial" w:hAnsi="Arial"/>
          <w:sz w:val="12"/>
          <w:szCs w:val="12"/>
          <w:color w:val="auto"/>
        </w:rPr>
      </w:pPr>
      <w:r>
        <w:rPr>
          <w:rFonts w:ascii="Arial" w:cs="Arial" w:eastAsia="Arial" w:hAnsi="Arial"/>
          <w:sz w:val="16"/>
          <w:szCs w:val="16"/>
          <w:color w:val="auto"/>
        </w:rPr>
        <w:t>33% in the form of time-based RSUs subject to a three-year vesting schedule.</w:t>
      </w:r>
    </w:p>
    <w:p>
      <w:pPr>
        <w:spacing w:after="0" w:line="19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PSUs granted under the 2023 PSP based on the Annual CEO SMART Goals were eligible to vest on March 1, 2024 based on the level of achievement of the Annual CEO SMART Goals. If the Annual CEO SMART Goals were not met, then the PSUs would not have vested and would have been forfeited. In addition, achievement of the Annual CEO SMART Goals had no effect on and would not have accelerated the vesting of the time-based RSUs.</w:t>
      </w:r>
    </w:p>
    <w:p>
      <w:pPr>
        <w:spacing w:after="0" w:line="111"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The PSUs based on the Relative TSR target are eligible to vest on March 1, 2026, based our TSR performance relative to the TSR performance of the S&amp;P 500, expressed as a percentage (rounded to the nearest 1/100 of 1%), measured between January 1, 2023 and December 31, 2025.</w:t>
      </w:r>
    </w:p>
    <w:p>
      <w:pPr>
        <w:spacing w:after="0" w:line="114"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The time-based RSUs granted under the 2023 PSP vest in three equal annual installments based on the NEO’s continuous service through each applicable vesting date.</w:t>
      </w:r>
    </w:p>
    <w:p>
      <w:pPr>
        <w:spacing w:after="0" w:line="114"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The Compensation Committee determined an aggregate target award size for the equity incentive award for each NEO in 2023 based on our internal equity budget for all grants in 2023, internal pay equity, and for all NEOs other than the CEO, the recommendations of the CEO. The Compensation Committee also determined the CEO’s aggregate target equity award size. As noted above, the Compensation Committee provided reasonable increases in the target value of annual equity awards for all NEOs, including our CEO, to reward them for exceptional financial performance in 2022. The Compensation Committee believed that this mix of time-based RSUs and PSUs for 2023 was appropriate to promote retention, motivate executives and align pay with performance and long-term stockholder value creation.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Mr. McNeil was not a participant of the 2023 PSP.</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Time-Based RSUs Granted in 2023</w:t>
      </w:r>
    </w:p>
    <w:p>
      <w:pPr>
        <w:spacing w:after="0" w:line="125"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As described above, in March 2023, the Compensation Committee approved the grants of the following RSUs to the NEOs, except as noted in the table below, which were eligible to vest based on continuous service over three years, with 1/3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vesting on each of March 1, 2024, March 1, 2025 and March 1, 2026 as follows: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6760" w:type="dxa"/>
            <w:vAlign w:val="bottom"/>
            <w:tcBorders>
              <w:left w:val="single" w:sz="8" w:color="7D7D7D"/>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22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Date of Grant</w:t>
            </w:r>
          </w:p>
        </w:tc>
        <w:tc>
          <w:tcPr>
            <w:tcW w:w="2240" w:type="dxa"/>
            <w:vAlign w:val="bottom"/>
            <w:tcBorders>
              <w:right w:val="single" w:sz="8" w:color="7D7D7D"/>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Number of Shares Underlying</w:t>
            </w:r>
          </w:p>
        </w:tc>
        <w:tc>
          <w:tcPr>
            <w:tcW w:w="0" w:type="dxa"/>
            <w:vAlign w:val="bottom"/>
          </w:tcPr>
          <w:p>
            <w:pPr>
              <w:spacing w:after="0"/>
              <w:rPr>
                <w:sz w:val="1"/>
                <w:szCs w:val="1"/>
                <w:color w:val="auto"/>
              </w:rPr>
            </w:pPr>
          </w:p>
        </w:tc>
      </w:tr>
      <w:tr>
        <w:trPr>
          <w:trHeight w:val="101"/>
        </w:trPr>
        <w:tc>
          <w:tcPr>
            <w:tcW w:w="6760" w:type="dxa"/>
            <w:vAlign w:val="bottom"/>
            <w:tcBorders>
              <w:left w:val="single" w:sz="8" w:color="7D7D7D"/>
              <w:right w:val="single" w:sz="8" w:color="3C3C3C"/>
            </w:tcBorders>
            <w:vMerge w:val="continue"/>
            <w:shd w:val="clear" w:color="auto" w:fill="3C3C3C"/>
          </w:tcPr>
          <w:p>
            <w:pPr>
              <w:spacing w:after="0"/>
              <w:rPr>
                <w:sz w:val="8"/>
                <w:szCs w:val="8"/>
                <w:color w:val="auto"/>
              </w:rPr>
            </w:pPr>
          </w:p>
        </w:tc>
        <w:tc>
          <w:tcPr>
            <w:tcW w:w="2260" w:type="dxa"/>
            <w:vAlign w:val="bottom"/>
            <w:tcBorders>
              <w:right w:val="single" w:sz="8" w:color="3C3C3C"/>
            </w:tcBorders>
            <w:vMerge w:val="continue"/>
            <w:shd w:val="clear" w:color="auto" w:fill="3C3C3C"/>
          </w:tcPr>
          <w:p>
            <w:pPr>
              <w:spacing w:after="0"/>
              <w:rPr>
                <w:sz w:val="8"/>
                <w:szCs w:val="8"/>
                <w:color w:val="auto"/>
              </w:rPr>
            </w:pPr>
          </w:p>
        </w:tc>
        <w:tc>
          <w:tcPr>
            <w:tcW w:w="2240" w:type="dxa"/>
            <w:vAlign w:val="bottom"/>
            <w:tcBorders>
              <w:right w:val="single" w:sz="8" w:color="7D7D7D"/>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Time-Based RSUs</w:t>
            </w:r>
          </w:p>
        </w:tc>
        <w:tc>
          <w:tcPr>
            <w:tcW w:w="0" w:type="dxa"/>
            <w:vAlign w:val="bottom"/>
          </w:tcPr>
          <w:p>
            <w:pPr>
              <w:spacing w:after="0"/>
              <w:rPr>
                <w:sz w:val="1"/>
                <w:szCs w:val="1"/>
                <w:color w:val="auto"/>
              </w:rPr>
            </w:pPr>
          </w:p>
        </w:tc>
      </w:tr>
      <w:tr>
        <w:trPr>
          <w:trHeight w:val="105"/>
        </w:trPr>
        <w:tc>
          <w:tcPr>
            <w:tcW w:w="6760" w:type="dxa"/>
            <w:vAlign w:val="bottom"/>
            <w:tcBorders>
              <w:left w:val="single" w:sz="8" w:color="7D7D7D"/>
              <w:right w:val="single" w:sz="8" w:color="3C3C3C"/>
            </w:tcBorders>
            <w:shd w:val="clear" w:color="auto" w:fill="3C3C3C"/>
          </w:tcPr>
          <w:p>
            <w:pPr>
              <w:spacing w:after="0"/>
              <w:rPr>
                <w:sz w:val="9"/>
                <w:szCs w:val="9"/>
                <w:color w:val="auto"/>
              </w:rPr>
            </w:pPr>
          </w:p>
        </w:tc>
        <w:tc>
          <w:tcPr>
            <w:tcW w:w="2260" w:type="dxa"/>
            <w:vAlign w:val="bottom"/>
            <w:tcBorders>
              <w:right w:val="single" w:sz="8" w:color="3C3C3C"/>
            </w:tcBorders>
            <w:shd w:val="clear" w:color="auto" w:fill="3C3C3C"/>
          </w:tcPr>
          <w:p>
            <w:pPr>
              <w:spacing w:after="0"/>
              <w:rPr>
                <w:sz w:val="9"/>
                <w:szCs w:val="9"/>
                <w:color w:val="auto"/>
              </w:rPr>
            </w:pPr>
          </w:p>
        </w:tc>
        <w:tc>
          <w:tcPr>
            <w:tcW w:w="2240" w:type="dxa"/>
            <w:vAlign w:val="bottom"/>
            <w:tcBorders>
              <w:right w:val="single" w:sz="8" w:color="7D7D7D"/>
            </w:tcBorders>
            <w:vMerge w:val="continue"/>
            <w:shd w:val="clear" w:color="auto" w:fill="3C3C3C"/>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67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22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3/8/2023</w:t>
            </w:r>
          </w:p>
        </w:tc>
        <w:tc>
          <w:tcPr>
            <w:tcW w:w="22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26,400</w:t>
            </w:r>
          </w:p>
        </w:tc>
        <w:tc>
          <w:tcPr>
            <w:tcW w:w="0" w:type="dxa"/>
            <w:vAlign w:val="bottom"/>
          </w:tcPr>
          <w:p>
            <w:pPr>
              <w:spacing w:after="0"/>
              <w:rPr>
                <w:sz w:val="1"/>
                <w:szCs w:val="1"/>
                <w:color w:val="auto"/>
              </w:rPr>
            </w:pPr>
          </w:p>
        </w:tc>
      </w:tr>
      <w:tr>
        <w:trPr>
          <w:trHeight w:val="232"/>
        </w:trPr>
        <w:tc>
          <w:tcPr>
            <w:tcW w:w="67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22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6"/>
              </w:rPr>
              <w:t>3/8/2023</w:t>
            </w:r>
          </w:p>
        </w:tc>
        <w:tc>
          <w:tcPr>
            <w:tcW w:w="22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8,580</w:t>
            </w:r>
          </w:p>
        </w:tc>
        <w:tc>
          <w:tcPr>
            <w:tcW w:w="0" w:type="dxa"/>
            <w:vAlign w:val="bottom"/>
          </w:tcPr>
          <w:p>
            <w:pPr>
              <w:spacing w:after="0"/>
              <w:rPr>
                <w:sz w:val="1"/>
                <w:szCs w:val="1"/>
                <w:color w:val="auto"/>
              </w:rPr>
            </w:pPr>
          </w:p>
        </w:tc>
      </w:tr>
      <w:tr>
        <w:trPr>
          <w:trHeight w:val="291"/>
        </w:trPr>
        <w:tc>
          <w:tcPr>
            <w:tcW w:w="67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22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7"/>
              </w:rPr>
              <w:t>Multiple dates</w:t>
            </w:r>
            <w:r>
              <w:rPr>
                <w:rFonts w:ascii="Arial" w:cs="Arial" w:eastAsia="Arial" w:hAnsi="Arial"/>
                <w:sz w:val="20"/>
                <w:szCs w:val="20"/>
                <w:color w:val="auto"/>
                <w:w w:val="97"/>
                <w:vertAlign w:val="superscript"/>
              </w:rPr>
              <w:t>1</w:t>
            </w:r>
          </w:p>
        </w:tc>
        <w:tc>
          <w:tcPr>
            <w:tcW w:w="22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48,150</w:t>
            </w:r>
          </w:p>
        </w:tc>
        <w:tc>
          <w:tcPr>
            <w:tcW w:w="0" w:type="dxa"/>
            <w:vAlign w:val="bottom"/>
          </w:tcPr>
          <w:p>
            <w:pPr>
              <w:spacing w:after="0"/>
              <w:rPr>
                <w:sz w:val="1"/>
                <w:szCs w:val="1"/>
                <w:color w:val="auto"/>
              </w:rPr>
            </w:pPr>
          </w:p>
        </w:tc>
      </w:tr>
      <w:tr>
        <w:trPr>
          <w:trHeight w:val="235"/>
        </w:trPr>
        <w:tc>
          <w:tcPr>
            <w:tcW w:w="67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Jeffrey McNeil</w:t>
            </w:r>
          </w:p>
        </w:tc>
        <w:tc>
          <w:tcPr>
            <w:tcW w:w="22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4/21/2023</w:t>
            </w:r>
          </w:p>
        </w:tc>
        <w:tc>
          <w:tcPr>
            <w:tcW w:w="22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15,000</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w:t>
      </w:r>
    </w:p>
    <w:p>
      <w:pPr>
        <w:spacing w:after="0" w:line="76" w:lineRule="exact"/>
        <w:rPr>
          <w:sz w:val="20"/>
          <w:szCs w:val="20"/>
          <w:color w:val="auto"/>
        </w:rPr>
      </w:pPr>
    </w:p>
    <w:p>
      <w:pPr>
        <w:ind w:left="220" w:hanging="215"/>
        <w:spacing w:after="0"/>
        <w:tabs>
          <w:tab w:leader="none" w:pos="220" w:val="left"/>
        </w:tabs>
        <w:numPr>
          <w:ilvl w:val="0"/>
          <w:numId w:val="36"/>
        </w:numPr>
        <w:rPr>
          <w:rFonts w:ascii="Arial" w:cs="Arial" w:eastAsia="Arial" w:hAnsi="Arial"/>
          <w:sz w:val="14"/>
          <w:szCs w:val="14"/>
          <w:color w:val="7D7D7D"/>
        </w:rPr>
      </w:pPr>
      <w:r>
        <w:rPr>
          <w:rFonts w:ascii="Arial" w:cs="Arial" w:eastAsia="Arial" w:hAnsi="Arial"/>
          <w:sz w:val="14"/>
          <w:szCs w:val="14"/>
          <w:color w:val="7D7D7D"/>
        </w:rPr>
        <w:t>Mr. Ranhoff received a time-based award on March 8, 2023 of 4,950 RSUs and two time-based awards on July 21, 2023 of 13,200 RSUs and 30,000 RSUs.</w:t>
      </w:r>
    </w:p>
    <w:p>
      <w:pPr>
        <w:spacing w:after="0" w:line="26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Mr. McNeil stepped down as an executive officer of Enphase as of March 31, 2023, and, accordingly, he did not participate in the 2023 PSP. Mr. McNeil received a time-based award of 15,000 RSUs in April 2023 in connection with his transition to the role of Chief Advisor. This award vests annually over two years, with 50% eligible to vest on April 17, 2024 and 50% eligible to vest on April 17, 2025, subject to his continuous service on each applicable vesting date.</w:t>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68" w:right="319" w:bottom="1440" w:gutter="0" w:footer="0" w:header="0"/>
        </w:sectPr>
      </w:pPr>
    </w:p>
    <w:bookmarkStart w:id="44" w:name="page45"/>
    <w:bookmarkEnd w:id="44"/>
    <w:p>
      <w:pPr>
        <w:jc w:val="both"/>
        <w:ind w:right="20"/>
        <w:spacing w:after="0" w:line="292" w:lineRule="auto"/>
        <w:rPr>
          <w:sz w:val="20"/>
          <w:szCs w:val="20"/>
          <w:color w:val="auto"/>
        </w:rPr>
      </w:pPr>
      <w:r>
        <w:rPr>
          <w:rFonts w:ascii="Arial" w:cs="Arial" w:eastAsia="Arial" w:hAnsi="Arial"/>
          <w:sz w:val="16"/>
          <w:szCs w:val="16"/>
          <w:color w:val="auto"/>
        </w:rPr>
        <w:t>In March 2023, the Compensation Committee initially awarded Mr. Ranhoff 4,950 RSUs under the 2023 PSP because he had previously announced his intention to retire and transition to a smaller role at the end of June 2023. However, given that Mr. Ranhoff was critical to our success and his overall importance to our long-term growth, the Board and the Compensation Committee made efforts to retain Mr. Ranhoff in his capacity as CCO. As an incentive to have Mr. Ranhoff continue in his role as CCO, and considering the number of shares awarded to other executives in 2022 and 2023, the Compensation Committee awarded Mr. Ranhoff additional awards of 13,200 time-based RSUs, which vest annually over three years, under the 2023 PSP, and 30,000 RSUs, which vest quarterly over two years, subject to his continuous service on each applicable vesting date.</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PSUs Tied to Annual CEO SMART Goals</w:t>
      </w:r>
    </w:p>
    <w:p>
      <w:pPr>
        <w:spacing w:after="0" w:line="125"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PSUs based upon the achievement of Annual CEO SMART Goals were eligible to vest on March 1, 2024, measured over the period starting January 1, 2023 and ending December 31, 2023, subject to continuous service through March 1, 2024, as follows:</w:t>
      </w:r>
    </w:p>
    <w:p>
      <w:pPr>
        <w:spacing w:after="0" w:line="114" w:lineRule="exact"/>
        <w:rPr>
          <w:sz w:val="20"/>
          <w:szCs w:val="20"/>
          <w:color w:val="auto"/>
        </w:rPr>
      </w:pPr>
    </w:p>
    <w:p>
      <w:pPr>
        <w:ind w:left="300" w:hanging="139"/>
        <w:spacing w:after="0"/>
        <w:tabs>
          <w:tab w:leader="none" w:pos="300" w:val="left"/>
        </w:tabs>
        <w:numPr>
          <w:ilvl w:val="0"/>
          <w:numId w:val="37"/>
        </w:numPr>
        <w:rPr>
          <w:rFonts w:ascii="Arial" w:cs="Arial" w:eastAsia="Arial" w:hAnsi="Arial"/>
          <w:sz w:val="12"/>
          <w:szCs w:val="12"/>
          <w:color w:val="auto"/>
        </w:rPr>
      </w:pPr>
      <w:r>
        <w:rPr>
          <w:rFonts w:ascii="Arial" w:cs="Arial" w:eastAsia="Arial" w:hAnsi="Arial"/>
          <w:sz w:val="16"/>
          <w:szCs w:val="16"/>
          <w:color w:val="auto"/>
        </w:rPr>
        <w:t>0% vested if the goals score, including stretch goals, was less than 65;</w:t>
      </w:r>
    </w:p>
    <w:p>
      <w:pPr>
        <w:spacing w:after="0" w:line="181" w:lineRule="exact"/>
        <w:rPr>
          <w:rFonts w:ascii="Arial" w:cs="Arial" w:eastAsia="Arial" w:hAnsi="Arial"/>
          <w:sz w:val="12"/>
          <w:szCs w:val="12"/>
          <w:color w:val="auto"/>
        </w:rPr>
      </w:pPr>
    </w:p>
    <w:p>
      <w:pPr>
        <w:ind w:left="300" w:hanging="139"/>
        <w:spacing w:after="0"/>
        <w:tabs>
          <w:tab w:leader="none" w:pos="300" w:val="left"/>
        </w:tabs>
        <w:numPr>
          <w:ilvl w:val="0"/>
          <w:numId w:val="37"/>
        </w:numPr>
        <w:rPr>
          <w:rFonts w:ascii="Arial" w:cs="Arial" w:eastAsia="Arial" w:hAnsi="Arial"/>
          <w:sz w:val="12"/>
          <w:szCs w:val="12"/>
          <w:color w:val="auto"/>
        </w:rPr>
      </w:pPr>
      <w:r>
        <w:rPr>
          <w:rFonts w:ascii="Arial" w:cs="Arial" w:eastAsia="Arial" w:hAnsi="Arial"/>
          <w:sz w:val="16"/>
          <w:szCs w:val="16"/>
          <w:color w:val="auto"/>
        </w:rPr>
        <w:t>50% vested if the goals score, including stretch goals, was at least 65 but less than 80;</w:t>
      </w:r>
    </w:p>
    <w:p>
      <w:pPr>
        <w:spacing w:after="0" w:line="195" w:lineRule="exact"/>
        <w:rPr>
          <w:rFonts w:ascii="Arial" w:cs="Arial" w:eastAsia="Arial" w:hAnsi="Arial"/>
          <w:sz w:val="12"/>
          <w:szCs w:val="12"/>
          <w:color w:val="auto"/>
        </w:rPr>
      </w:pPr>
    </w:p>
    <w:p>
      <w:pPr>
        <w:ind w:left="300" w:hanging="139"/>
        <w:spacing w:after="0"/>
        <w:tabs>
          <w:tab w:leader="none" w:pos="300" w:val="left"/>
        </w:tabs>
        <w:numPr>
          <w:ilvl w:val="0"/>
          <w:numId w:val="37"/>
        </w:numPr>
        <w:rPr>
          <w:rFonts w:ascii="Arial" w:cs="Arial" w:eastAsia="Arial" w:hAnsi="Arial"/>
          <w:sz w:val="12"/>
          <w:szCs w:val="12"/>
          <w:color w:val="auto"/>
        </w:rPr>
      </w:pPr>
      <w:r>
        <w:rPr>
          <w:rFonts w:ascii="Arial" w:cs="Arial" w:eastAsia="Arial" w:hAnsi="Arial"/>
          <w:sz w:val="16"/>
          <w:szCs w:val="16"/>
          <w:color w:val="auto"/>
        </w:rPr>
        <w:t>100% vested if the goals score, including stretch goals, was at least 80 but less than 100; and</w:t>
      </w:r>
    </w:p>
    <w:p>
      <w:pPr>
        <w:spacing w:after="0" w:line="195" w:lineRule="exact"/>
        <w:rPr>
          <w:rFonts w:ascii="Arial" w:cs="Arial" w:eastAsia="Arial" w:hAnsi="Arial"/>
          <w:sz w:val="12"/>
          <w:szCs w:val="12"/>
          <w:color w:val="auto"/>
        </w:rPr>
      </w:pPr>
    </w:p>
    <w:p>
      <w:pPr>
        <w:ind w:left="300" w:hanging="139"/>
        <w:spacing w:after="0"/>
        <w:tabs>
          <w:tab w:leader="none" w:pos="300" w:val="left"/>
        </w:tabs>
        <w:numPr>
          <w:ilvl w:val="0"/>
          <w:numId w:val="37"/>
        </w:numPr>
        <w:rPr>
          <w:rFonts w:ascii="Arial" w:cs="Arial" w:eastAsia="Arial" w:hAnsi="Arial"/>
          <w:sz w:val="12"/>
          <w:szCs w:val="12"/>
          <w:color w:val="auto"/>
        </w:rPr>
      </w:pPr>
      <w:r>
        <w:rPr>
          <w:rFonts w:ascii="Arial" w:cs="Arial" w:eastAsia="Arial" w:hAnsi="Arial"/>
          <w:sz w:val="16"/>
          <w:szCs w:val="16"/>
          <w:color w:val="auto"/>
        </w:rPr>
        <w:t>150% vested if the goals score, including stretch goals, was 100 or more.</w:t>
      </w:r>
    </w:p>
    <w:p>
      <w:pPr>
        <w:spacing w:after="0" w:line="195"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auto"/>
        </w:rPr>
        <w:t>The table below summarizes the target number of Annual CEO SMART Goal PSUs awarded to each NEO (other than Mr. McNeil, who, as noted above, did not participate in the 2023 PSP and did not receive any PSUs in 2023).</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340" w:type="dxa"/>
            <w:vAlign w:val="bottom"/>
            <w:tcBorders>
              <w:left w:val="single" w:sz="8" w:color="7D7D7D"/>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19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Date of Grant</w:t>
            </w:r>
          </w:p>
        </w:tc>
        <w:tc>
          <w:tcPr>
            <w:tcW w:w="19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Number of Shares</w:t>
            </w:r>
          </w:p>
        </w:tc>
        <w:tc>
          <w:tcPr>
            <w:tcW w:w="202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Number of Shares Underlying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5340" w:type="dxa"/>
            <w:vAlign w:val="bottom"/>
            <w:tcBorders>
              <w:left w:val="single" w:sz="8" w:color="7D7D7D"/>
              <w:right w:val="single" w:sz="8" w:color="3C3C3C"/>
            </w:tcBorders>
            <w:vMerge w:val="continue"/>
            <w:shd w:val="clear" w:color="auto" w:fill="3C3C3C"/>
          </w:tcPr>
          <w:p>
            <w:pPr>
              <w:spacing w:after="0"/>
              <w:rPr>
                <w:sz w:val="6"/>
                <w:szCs w:val="6"/>
                <w:color w:val="auto"/>
              </w:rPr>
            </w:pPr>
          </w:p>
        </w:tc>
        <w:tc>
          <w:tcPr>
            <w:tcW w:w="1920" w:type="dxa"/>
            <w:vAlign w:val="bottom"/>
            <w:tcBorders>
              <w:right w:val="single" w:sz="8" w:color="3C3C3C"/>
            </w:tcBorders>
            <w:vMerge w:val="continue"/>
            <w:shd w:val="clear" w:color="auto" w:fill="3C3C3C"/>
          </w:tcPr>
          <w:p>
            <w:pPr>
              <w:spacing w:after="0"/>
              <w:rPr>
                <w:sz w:val="6"/>
                <w:szCs w:val="6"/>
                <w:color w:val="auto"/>
              </w:rPr>
            </w:pPr>
          </w:p>
        </w:tc>
        <w:tc>
          <w:tcPr>
            <w:tcW w:w="19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Underlying PSUs</w:t>
            </w:r>
          </w:p>
        </w:tc>
        <w:tc>
          <w:tcPr>
            <w:tcW w:w="202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5340" w:type="dxa"/>
            <w:vAlign w:val="bottom"/>
            <w:tcBorders>
              <w:left w:val="single" w:sz="8" w:color="7D7D7D"/>
              <w:right w:val="single" w:sz="8" w:color="3C3C3C"/>
            </w:tcBorders>
            <w:vMerge w:val="continue"/>
            <w:shd w:val="clear" w:color="auto" w:fill="3C3C3C"/>
          </w:tcPr>
          <w:p>
            <w:pPr>
              <w:spacing w:after="0"/>
              <w:rPr>
                <w:sz w:val="7"/>
                <w:szCs w:val="7"/>
                <w:color w:val="auto"/>
              </w:rPr>
            </w:pPr>
          </w:p>
        </w:tc>
        <w:tc>
          <w:tcPr>
            <w:tcW w:w="1920" w:type="dxa"/>
            <w:vAlign w:val="bottom"/>
            <w:tcBorders>
              <w:right w:val="single" w:sz="8" w:color="3C3C3C"/>
            </w:tcBorders>
            <w:vMerge w:val="continue"/>
            <w:shd w:val="clear" w:color="auto" w:fill="3C3C3C"/>
          </w:tcPr>
          <w:p>
            <w:pPr>
              <w:spacing w:after="0"/>
              <w:rPr>
                <w:sz w:val="7"/>
                <w:szCs w:val="7"/>
                <w:color w:val="auto"/>
              </w:rPr>
            </w:pPr>
          </w:p>
        </w:tc>
        <w:tc>
          <w:tcPr>
            <w:tcW w:w="1960" w:type="dxa"/>
            <w:vAlign w:val="bottom"/>
            <w:tcBorders>
              <w:right w:val="single" w:sz="8" w:color="3C3C3C"/>
            </w:tcBorders>
            <w:vMerge w:val="continue"/>
            <w:shd w:val="clear" w:color="auto" w:fill="3C3C3C"/>
          </w:tcPr>
          <w:p>
            <w:pPr>
              <w:spacing w:after="0"/>
              <w:rPr>
                <w:sz w:val="7"/>
                <w:szCs w:val="7"/>
                <w:color w:val="auto"/>
              </w:rPr>
            </w:pPr>
          </w:p>
        </w:tc>
        <w:tc>
          <w:tcPr>
            <w:tcW w:w="202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PSUs (at Maximum)</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340" w:type="dxa"/>
            <w:vAlign w:val="bottom"/>
            <w:tcBorders>
              <w:left w:val="single" w:sz="8" w:color="7D7D7D"/>
              <w:right w:val="single" w:sz="8" w:color="3C3C3C"/>
            </w:tcBorders>
            <w:shd w:val="clear" w:color="auto" w:fill="3C3C3C"/>
          </w:tcPr>
          <w:p>
            <w:pPr>
              <w:spacing w:after="0"/>
              <w:rPr>
                <w:sz w:val="8"/>
                <w:szCs w:val="8"/>
                <w:color w:val="auto"/>
              </w:rPr>
            </w:pPr>
          </w:p>
        </w:tc>
        <w:tc>
          <w:tcPr>
            <w:tcW w:w="1920" w:type="dxa"/>
            <w:vAlign w:val="bottom"/>
            <w:tcBorders>
              <w:right w:val="single" w:sz="8" w:color="3C3C3C"/>
            </w:tcBorders>
            <w:shd w:val="clear" w:color="auto" w:fill="3C3C3C"/>
          </w:tcPr>
          <w:p>
            <w:pPr>
              <w:spacing w:after="0"/>
              <w:rPr>
                <w:sz w:val="8"/>
                <w:szCs w:val="8"/>
                <w:color w:val="auto"/>
              </w:rPr>
            </w:pPr>
          </w:p>
        </w:tc>
        <w:tc>
          <w:tcPr>
            <w:tcW w:w="19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(Initially granted at target)</w:t>
            </w:r>
          </w:p>
        </w:tc>
        <w:tc>
          <w:tcPr>
            <w:tcW w:w="2020" w:type="dxa"/>
            <w:vAlign w:val="bottom"/>
            <w:vMerge w:val="continue"/>
            <w:shd w:val="clear" w:color="auto" w:fill="3C3C3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340" w:type="dxa"/>
            <w:vAlign w:val="bottom"/>
            <w:tcBorders>
              <w:left w:val="single" w:sz="8" w:color="7D7D7D"/>
              <w:right w:val="single" w:sz="8" w:color="3C3C3C"/>
            </w:tcBorders>
            <w:shd w:val="clear" w:color="auto" w:fill="3C3C3C"/>
          </w:tcPr>
          <w:p>
            <w:pPr>
              <w:spacing w:after="0"/>
              <w:rPr>
                <w:sz w:val="7"/>
                <w:szCs w:val="7"/>
                <w:color w:val="auto"/>
              </w:rPr>
            </w:pPr>
          </w:p>
        </w:tc>
        <w:tc>
          <w:tcPr>
            <w:tcW w:w="1920" w:type="dxa"/>
            <w:vAlign w:val="bottom"/>
            <w:tcBorders>
              <w:right w:val="single" w:sz="8" w:color="3C3C3C"/>
            </w:tcBorders>
            <w:shd w:val="clear" w:color="auto" w:fill="3C3C3C"/>
          </w:tcPr>
          <w:p>
            <w:pPr>
              <w:spacing w:after="0"/>
              <w:rPr>
                <w:sz w:val="7"/>
                <w:szCs w:val="7"/>
                <w:color w:val="auto"/>
              </w:rPr>
            </w:pPr>
          </w:p>
        </w:tc>
        <w:tc>
          <w:tcPr>
            <w:tcW w:w="1960" w:type="dxa"/>
            <w:vAlign w:val="bottom"/>
            <w:tcBorders>
              <w:right w:val="single" w:sz="8" w:color="3C3C3C"/>
            </w:tcBorders>
            <w:vMerge w:val="continue"/>
            <w:shd w:val="clear" w:color="auto" w:fill="3C3C3C"/>
          </w:tcPr>
          <w:p>
            <w:pPr>
              <w:spacing w:after="0"/>
              <w:rPr>
                <w:sz w:val="7"/>
                <w:szCs w:val="7"/>
                <w:color w:val="auto"/>
              </w:rPr>
            </w:pPr>
          </w:p>
        </w:tc>
        <w:tc>
          <w:tcPr>
            <w:tcW w:w="2020" w:type="dxa"/>
            <w:vAlign w:val="bottom"/>
            <w:shd w:val="clear" w:color="auto" w:fill="3C3C3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53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9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3/8/2023</w:t>
            </w:r>
          </w:p>
        </w:tc>
        <w:tc>
          <w:tcPr>
            <w:tcW w:w="19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26,400</w:t>
            </w:r>
          </w:p>
        </w:tc>
        <w:tc>
          <w:tcPr>
            <w:tcW w:w="20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39,600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9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6"/>
              </w:rPr>
              <w:t>3/8/2023</w:t>
            </w:r>
          </w:p>
        </w:tc>
        <w:tc>
          <w:tcPr>
            <w:tcW w:w="19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8,580</w:t>
            </w:r>
          </w:p>
        </w:tc>
        <w:tc>
          <w:tcPr>
            <w:tcW w:w="2020" w:type="dxa"/>
            <w:vAlign w:val="bottom"/>
          </w:tcPr>
          <w:p>
            <w:pPr>
              <w:jc w:val="center"/>
              <w:spacing w:after="0"/>
              <w:rPr>
                <w:sz w:val="20"/>
                <w:szCs w:val="20"/>
                <w:color w:val="auto"/>
              </w:rPr>
            </w:pPr>
            <w:r>
              <w:rPr>
                <w:rFonts w:ascii="Arial" w:cs="Arial" w:eastAsia="Arial" w:hAnsi="Arial"/>
                <w:sz w:val="16"/>
                <w:szCs w:val="16"/>
                <w:color w:val="auto"/>
                <w:w w:val="98"/>
              </w:rPr>
              <w:t>12,870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3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r>
              <w:rPr>
                <w:rFonts w:ascii="Arial" w:cs="Arial" w:eastAsia="Arial" w:hAnsi="Arial"/>
                <w:sz w:val="20"/>
                <w:szCs w:val="20"/>
                <w:b w:val="1"/>
                <w:bCs w:val="1"/>
                <w:color w:val="auto"/>
                <w:vertAlign w:val="superscript"/>
              </w:rPr>
              <w:t>(1)</w:t>
            </w:r>
          </w:p>
        </w:tc>
        <w:tc>
          <w:tcPr>
            <w:tcW w:w="19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3/8/2023 and 7/21/2023</w:t>
            </w:r>
          </w:p>
        </w:tc>
        <w:tc>
          <w:tcPr>
            <w:tcW w:w="19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18,150</w:t>
            </w:r>
          </w:p>
        </w:tc>
        <w:tc>
          <w:tcPr>
            <w:tcW w:w="20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27,225</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w:t>
      </w:r>
    </w:p>
    <w:p>
      <w:pPr>
        <w:spacing w:after="0" w:line="63" w:lineRule="exact"/>
        <w:rPr>
          <w:sz w:val="20"/>
          <w:szCs w:val="20"/>
          <w:color w:val="auto"/>
        </w:rPr>
      </w:pPr>
    </w:p>
    <w:p>
      <w:pPr>
        <w:ind w:left="240" w:right="20" w:hanging="235"/>
        <w:spacing w:after="0" w:line="287" w:lineRule="auto"/>
        <w:tabs>
          <w:tab w:leader="none" w:pos="226" w:val="left"/>
        </w:tabs>
        <w:numPr>
          <w:ilvl w:val="0"/>
          <w:numId w:val="38"/>
        </w:numPr>
        <w:rPr>
          <w:rFonts w:ascii="Arial" w:cs="Arial" w:eastAsia="Arial" w:hAnsi="Arial"/>
          <w:sz w:val="14"/>
          <w:szCs w:val="14"/>
          <w:color w:val="7D7D7D"/>
        </w:rPr>
      </w:pPr>
      <w:r>
        <w:rPr>
          <w:rFonts w:ascii="Arial" w:cs="Arial" w:eastAsia="Arial" w:hAnsi="Arial"/>
          <w:sz w:val="14"/>
          <w:szCs w:val="14"/>
          <w:color w:val="7D7D7D"/>
        </w:rPr>
        <w:t>Mr. Ranhoff was initially granted an award of 4,950 Annual CEO SMART GOAL PSUs under the 2023 PSP in March 2023. However, as noted above, as an incentive to have Mr. Ranhoff stay on as CCO, the Compensation Committee awarded him an additional 13,200 Annual CEO SMART GOAL PSUs under the 2023 PSP in July 2023.</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CEO SMART Goals Results</w:t>
      </w:r>
    </w:p>
    <w:p>
      <w:pPr>
        <w:spacing w:after="0" w:line="125" w:lineRule="exact"/>
        <w:rPr>
          <w:sz w:val="20"/>
          <w:szCs w:val="20"/>
          <w:color w:val="auto"/>
        </w:rPr>
      </w:pPr>
    </w:p>
    <w:p>
      <w:pPr>
        <w:jc w:val="both"/>
        <w:ind w:right="20"/>
        <w:spacing w:after="0" w:line="313" w:lineRule="auto"/>
        <w:rPr>
          <w:sz w:val="20"/>
          <w:szCs w:val="20"/>
          <w:color w:val="auto"/>
        </w:rPr>
      </w:pPr>
      <w:r>
        <w:rPr>
          <w:rFonts w:ascii="Arial" w:cs="Arial" w:eastAsia="Arial" w:hAnsi="Arial"/>
          <w:sz w:val="15"/>
          <w:szCs w:val="15"/>
          <w:color w:val="auto"/>
        </w:rPr>
        <w:t>There were 60 Annual CEO SMART Goals, including two stretch goals that fell within the ten broad categories described earlier, for a maximum possible score of up to 120 points, as set forth in the table below. The number of points assigned to each category was based upon our key priorities and approved by the Compensation Committee and Board in January 2023. As discussed above, except for goals that had binary targets, each goal was assigned a 100% achievement target down to a 0% achievement target, with linear interpolation between the two targets that determined the actual achievement score. The goals were all forward looking, set to be aggressive and rigorous, but attainable with significant skill and effort, as can be seen by the final achievement scores set forth in the table below. At the time that the goals were set, the Compensation Committee and the Board believed that they were substantially uncertain to be achieved. With a score of 76.09 points, our NEOs were awarded PSUs based on the level of achievement of the Annual CEO SMART Goals at 50% of target.</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68" w:right="31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187"/>
        </w:trPr>
        <w:tc>
          <w:tcPr>
            <w:tcW w:w="4840" w:type="dxa"/>
            <w:vAlign w:val="bottom"/>
            <w:tcBorders>
              <w:left w:val="single" w:sz="8" w:color="7D7D7D"/>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Category of Annual CEO SMART Goals</w:t>
            </w:r>
          </w:p>
        </w:tc>
        <w:tc>
          <w:tcPr>
            <w:tcW w:w="21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Maximum Points Assigned to</w:t>
            </w:r>
          </w:p>
        </w:tc>
        <w:tc>
          <w:tcPr>
            <w:tcW w:w="21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Number of Goals in each</w:t>
            </w:r>
          </w:p>
        </w:tc>
        <w:tc>
          <w:tcPr>
            <w:tcW w:w="212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Actual Points Achieved in each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4840" w:type="dxa"/>
            <w:vAlign w:val="bottom"/>
            <w:tcBorders>
              <w:left w:val="single" w:sz="8" w:color="7D7D7D"/>
              <w:right w:val="single" w:sz="8" w:color="3C3C3C"/>
            </w:tcBorders>
            <w:vMerge w:val="continue"/>
            <w:shd w:val="clear" w:color="auto" w:fill="3C3C3C"/>
          </w:tcPr>
          <w:p>
            <w:pPr>
              <w:spacing w:after="0"/>
              <w:rPr>
                <w:sz w:val="8"/>
                <w:szCs w:val="8"/>
                <w:color w:val="auto"/>
              </w:rPr>
            </w:pPr>
          </w:p>
        </w:tc>
        <w:tc>
          <w:tcPr>
            <w:tcW w:w="21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the Category</w:t>
            </w:r>
          </w:p>
        </w:tc>
        <w:tc>
          <w:tcPr>
            <w:tcW w:w="21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Category</w:t>
            </w:r>
          </w:p>
        </w:tc>
        <w:tc>
          <w:tcPr>
            <w:tcW w:w="212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Category</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840" w:type="dxa"/>
            <w:vAlign w:val="bottom"/>
            <w:tcBorders>
              <w:left w:val="single" w:sz="8" w:color="7D7D7D"/>
              <w:right w:val="single" w:sz="8" w:color="3C3C3C"/>
            </w:tcBorders>
            <w:shd w:val="clear" w:color="auto" w:fill="3C3C3C"/>
          </w:tcPr>
          <w:p>
            <w:pPr>
              <w:spacing w:after="0"/>
              <w:rPr>
                <w:sz w:val="9"/>
                <w:szCs w:val="9"/>
                <w:color w:val="auto"/>
              </w:rPr>
            </w:pPr>
          </w:p>
        </w:tc>
        <w:tc>
          <w:tcPr>
            <w:tcW w:w="2140" w:type="dxa"/>
            <w:vAlign w:val="bottom"/>
            <w:tcBorders>
              <w:right w:val="single" w:sz="8" w:color="3C3C3C"/>
            </w:tcBorders>
            <w:vMerge w:val="continue"/>
            <w:shd w:val="clear" w:color="auto" w:fill="3C3C3C"/>
          </w:tcPr>
          <w:p>
            <w:pPr>
              <w:spacing w:after="0"/>
              <w:rPr>
                <w:sz w:val="9"/>
                <w:szCs w:val="9"/>
                <w:color w:val="auto"/>
              </w:rPr>
            </w:pPr>
          </w:p>
        </w:tc>
        <w:tc>
          <w:tcPr>
            <w:tcW w:w="2140" w:type="dxa"/>
            <w:vAlign w:val="bottom"/>
            <w:tcBorders>
              <w:right w:val="single" w:sz="8" w:color="3C3C3C"/>
            </w:tcBorders>
            <w:vMerge w:val="continue"/>
            <w:shd w:val="clear" w:color="auto" w:fill="3C3C3C"/>
          </w:tcPr>
          <w:p>
            <w:pPr>
              <w:spacing w:after="0"/>
              <w:rPr>
                <w:sz w:val="9"/>
                <w:szCs w:val="9"/>
                <w:color w:val="auto"/>
              </w:rPr>
            </w:pPr>
          </w:p>
        </w:tc>
        <w:tc>
          <w:tcPr>
            <w:tcW w:w="2120" w:type="dxa"/>
            <w:vAlign w:val="bottom"/>
            <w:vMerge w:val="continue"/>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48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Grow Revenue</w:t>
            </w:r>
          </w:p>
        </w:tc>
        <w:tc>
          <w:tcPr>
            <w:tcW w:w="21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27</w:t>
            </w:r>
          </w:p>
        </w:tc>
        <w:tc>
          <w:tcPr>
            <w:tcW w:w="21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89"/>
              </w:rPr>
              <w:t>4</w:t>
            </w:r>
          </w:p>
        </w:tc>
        <w:tc>
          <w:tcPr>
            <w:tcW w:w="212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4.01</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Profit Before Taxes</w:t>
            </w:r>
          </w:p>
        </w:tc>
        <w:tc>
          <w:tcPr>
            <w:tcW w:w="21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19</w:t>
            </w:r>
          </w:p>
        </w:tc>
        <w:tc>
          <w:tcPr>
            <w:tcW w:w="21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89"/>
              </w:rPr>
              <w:t>7</w:t>
            </w:r>
          </w:p>
        </w:tc>
        <w:tc>
          <w:tcPr>
            <w:tcW w:w="2120" w:type="dxa"/>
            <w:vAlign w:val="bottom"/>
          </w:tcPr>
          <w:p>
            <w:pPr>
              <w:jc w:val="center"/>
              <w:spacing w:after="0"/>
              <w:rPr>
                <w:sz w:val="20"/>
                <w:szCs w:val="20"/>
                <w:color w:val="auto"/>
              </w:rPr>
            </w:pPr>
            <w:r>
              <w:rPr>
                <w:rFonts w:ascii="Arial" w:cs="Arial" w:eastAsia="Arial" w:hAnsi="Arial"/>
                <w:sz w:val="16"/>
                <w:szCs w:val="16"/>
                <w:color w:val="auto"/>
                <w:w w:val="99"/>
              </w:rPr>
              <w:t>14.51</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New Products</w:t>
            </w:r>
          </w:p>
        </w:tc>
        <w:tc>
          <w:tcPr>
            <w:tcW w:w="21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20</w:t>
            </w:r>
          </w:p>
        </w:tc>
        <w:tc>
          <w:tcPr>
            <w:tcW w:w="21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18</w:t>
            </w:r>
          </w:p>
        </w:tc>
        <w:tc>
          <w:tcPr>
            <w:tcW w:w="21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14.82</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Innovation</w:t>
            </w:r>
          </w:p>
        </w:tc>
        <w:tc>
          <w:tcPr>
            <w:tcW w:w="21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3</w:t>
            </w:r>
          </w:p>
        </w:tc>
        <w:tc>
          <w:tcPr>
            <w:tcW w:w="21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89"/>
              </w:rPr>
              <w:t>3</w:t>
            </w:r>
          </w:p>
        </w:tc>
        <w:tc>
          <w:tcPr>
            <w:tcW w:w="2120" w:type="dxa"/>
            <w:vAlign w:val="bottom"/>
          </w:tcPr>
          <w:p>
            <w:pPr>
              <w:jc w:val="center"/>
              <w:spacing w:after="0"/>
              <w:rPr>
                <w:sz w:val="20"/>
                <w:szCs w:val="20"/>
                <w:color w:val="auto"/>
              </w:rPr>
            </w:pPr>
            <w:r>
              <w:rPr>
                <w:rFonts w:ascii="Arial" w:cs="Arial" w:eastAsia="Arial" w:hAnsi="Arial"/>
                <w:sz w:val="16"/>
                <w:szCs w:val="16"/>
                <w:color w:val="auto"/>
              </w:rPr>
              <w:t>2.00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Operations (Including IT)</w:t>
            </w:r>
          </w:p>
        </w:tc>
        <w:tc>
          <w:tcPr>
            <w:tcW w:w="21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21</w:t>
            </w:r>
          </w:p>
        </w:tc>
        <w:tc>
          <w:tcPr>
            <w:tcW w:w="21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89"/>
              </w:rPr>
              <w:t>8</w:t>
            </w:r>
          </w:p>
        </w:tc>
        <w:tc>
          <w:tcPr>
            <w:tcW w:w="21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17.17</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Quality</w:t>
            </w:r>
          </w:p>
        </w:tc>
        <w:tc>
          <w:tcPr>
            <w:tcW w:w="21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8</w:t>
            </w:r>
          </w:p>
        </w:tc>
        <w:tc>
          <w:tcPr>
            <w:tcW w:w="21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89"/>
              </w:rPr>
              <w:t>4</w:t>
            </w:r>
          </w:p>
        </w:tc>
        <w:tc>
          <w:tcPr>
            <w:tcW w:w="2120" w:type="dxa"/>
            <w:vAlign w:val="bottom"/>
          </w:tcPr>
          <w:p>
            <w:pPr>
              <w:jc w:val="center"/>
              <w:spacing w:after="0"/>
              <w:rPr>
                <w:sz w:val="20"/>
                <w:szCs w:val="20"/>
                <w:color w:val="auto"/>
              </w:rPr>
            </w:pPr>
            <w:r>
              <w:rPr>
                <w:rFonts w:ascii="Arial" w:cs="Arial" w:eastAsia="Arial" w:hAnsi="Arial"/>
                <w:sz w:val="16"/>
                <w:szCs w:val="16"/>
                <w:color w:val="auto"/>
              </w:rPr>
              <w:t>6.74</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Ease Of Doing Business</w:t>
            </w:r>
          </w:p>
        </w:tc>
        <w:tc>
          <w:tcPr>
            <w:tcW w:w="21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89"/>
              </w:rPr>
              <w:t>11</w:t>
            </w:r>
          </w:p>
        </w:tc>
        <w:tc>
          <w:tcPr>
            <w:tcW w:w="21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89"/>
              </w:rPr>
              <w:t>4</w:t>
            </w:r>
          </w:p>
        </w:tc>
        <w:tc>
          <w:tcPr>
            <w:tcW w:w="21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10.20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Human Resources</w:t>
            </w:r>
          </w:p>
        </w:tc>
        <w:tc>
          <w:tcPr>
            <w:tcW w:w="21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rPr>
              <w:t>5</w:t>
            </w:r>
          </w:p>
        </w:tc>
        <w:tc>
          <w:tcPr>
            <w:tcW w:w="214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89"/>
              </w:rPr>
              <w:t>1</w:t>
            </w:r>
          </w:p>
        </w:tc>
        <w:tc>
          <w:tcPr>
            <w:tcW w:w="2120" w:type="dxa"/>
            <w:vAlign w:val="bottom"/>
          </w:tcPr>
          <w:p>
            <w:pPr>
              <w:jc w:val="center"/>
              <w:spacing w:after="0"/>
              <w:rPr>
                <w:sz w:val="20"/>
                <w:szCs w:val="20"/>
                <w:color w:val="auto"/>
              </w:rPr>
            </w:pPr>
            <w:r>
              <w:rPr>
                <w:rFonts w:ascii="Arial" w:cs="Arial" w:eastAsia="Arial" w:hAnsi="Arial"/>
                <w:sz w:val="16"/>
                <w:szCs w:val="16"/>
                <w:color w:val="auto"/>
              </w:rPr>
              <w:t>1.47</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Marketing</w:t>
            </w:r>
          </w:p>
        </w:tc>
        <w:tc>
          <w:tcPr>
            <w:tcW w:w="21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4</w:t>
            </w:r>
          </w:p>
        </w:tc>
        <w:tc>
          <w:tcPr>
            <w:tcW w:w="214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89"/>
              </w:rPr>
              <w:t>3</w:t>
            </w:r>
          </w:p>
        </w:tc>
        <w:tc>
          <w:tcPr>
            <w:tcW w:w="212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3.50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40" w:type="dxa"/>
            <w:vAlign w:val="bottom"/>
            <w:tcBorders>
              <w:left w:val="single" w:sz="8" w:color="7D7D7D"/>
              <w:bottom w:val="single" w:sz="8" w:color="FAF6EF"/>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M&amp;A / ESG</w:t>
            </w:r>
          </w:p>
        </w:tc>
        <w:tc>
          <w:tcPr>
            <w:tcW w:w="2140" w:type="dxa"/>
            <w:vAlign w:val="bottom"/>
            <w:tcBorders>
              <w:bottom w:val="single" w:sz="8" w:color="3C3C3C"/>
              <w:right w:val="single" w:sz="8" w:color="7D7D7D"/>
            </w:tcBorders>
          </w:tcPr>
          <w:p>
            <w:pPr>
              <w:jc w:val="center"/>
              <w:spacing w:after="0"/>
              <w:rPr>
                <w:sz w:val="20"/>
                <w:szCs w:val="20"/>
                <w:color w:val="auto"/>
              </w:rPr>
            </w:pPr>
            <w:r>
              <w:rPr>
                <w:rFonts w:ascii="Arial" w:cs="Arial" w:eastAsia="Arial" w:hAnsi="Arial"/>
                <w:sz w:val="16"/>
                <w:szCs w:val="16"/>
                <w:color w:val="auto"/>
              </w:rPr>
              <w:t>2</w:t>
            </w:r>
          </w:p>
        </w:tc>
        <w:tc>
          <w:tcPr>
            <w:tcW w:w="2140" w:type="dxa"/>
            <w:vAlign w:val="bottom"/>
            <w:tcBorders>
              <w:bottom w:val="single" w:sz="8" w:color="3C3C3C"/>
              <w:right w:val="single" w:sz="8" w:color="7D7D7D"/>
            </w:tcBorders>
          </w:tcPr>
          <w:p>
            <w:pPr>
              <w:jc w:val="center"/>
              <w:spacing w:after="0"/>
              <w:rPr>
                <w:sz w:val="20"/>
                <w:szCs w:val="20"/>
                <w:color w:val="auto"/>
              </w:rPr>
            </w:pPr>
            <w:r>
              <w:rPr>
                <w:rFonts w:ascii="Arial" w:cs="Arial" w:eastAsia="Arial" w:hAnsi="Arial"/>
                <w:sz w:val="16"/>
                <w:szCs w:val="16"/>
                <w:color w:val="auto"/>
                <w:w w:val="89"/>
              </w:rPr>
              <w:t>2</w:t>
            </w:r>
          </w:p>
        </w:tc>
        <w:tc>
          <w:tcPr>
            <w:tcW w:w="2120" w:type="dxa"/>
            <w:vAlign w:val="bottom"/>
            <w:tcBorders>
              <w:bottom w:val="single" w:sz="8" w:color="3C3C3C"/>
            </w:tcBorders>
          </w:tcPr>
          <w:p>
            <w:pPr>
              <w:jc w:val="center"/>
              <w:spacing w:after="0"/>
              <w:rPr>
                <w:sz w:val="20"/>
                <w:szCs w:val="20"/>
                <w:color w:val="auto"/>
              </w:rPr>
            </w:pPr>
            <w:r>
              <w:rPr>
                <w:rFonts w:ascii="Arial" w:cs="Arial" w:eastAsia="Arial" w:hAnsi="Arial"/>
                <w:sz w:val="16"/>
                <w:szCs w:val="16"/>
                <w:color w:val="auto"/>
              </w:rPr>
              <w:t>1.67</w:t>
            </w:r>
          </w:p>
        </w:tc>
        <w:tc>
          <w:tcPr>
            <w:tcW w:w="20" w:type="dxa"/>
            <w:vAlign w:val="bottom"/>
            <w:tcBorders>
              <w:bottom w:val="single" w:sz="8" w:color="7D7D7D"/>
            </w:tcBorders>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840" w:type="dxa"/>
            <w:vAlign w:val="bottom"/>
            <w:tcBorders>
              <w:left w:val="single" w:sz="8" w:color="7D7D7D"/>
              <w:bottom w:val="single" w:sz="8" w:color="FAF6EF"/>
              <w:right w:val="single" w:sz="8" w:color="7D7D7D"/>
            </w:tcBorders>
            <w:shd w:val="clear" w:color="auto" w:fill="FAF6EF"/>
          </w:tcPr>
          <w:p>
            <w:pPr>
              <w:ind w:left="340"/>
              <w:spacing w:after="0"/>
              <w:rPr>
                <w:sz w:val="20"/>
                <w:szCs w:val="20"/>
                <w:color w:val="auto"/>
              </w:rPr>
            </w:pPr>
            <w:r>
              <w:rPr>
                <w:rFonts w:ascii="Arial" w:cs="Arial" w:eastAsia="Arial" w:hAnsi="Arial"/>
                <w:sz w:val="16"/>
                <w:szCs w:val="16"/>
                <w:b w:val="1"/>
                <w:bCs w:val="1"/>
                <w:color w:val="auto"/>
              </w:rPr>
              <w:t>Total</w:t>
            </w:r>
          </w:p>
        </w:tc>
        <w:tc>
          <w:tcPr>
            <w:tcW w:w="2140" w:type="dxa"/>
            <w:vAlign w:val="bottom"/>
            <w:tcBorders>
              <w:bottom w:val="single" w:sz="8" w:color="3C3C3C"/>
              <w:right w:val="single" w:sz="8" w:color="7D7D7D"/>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7"/>
              </w:rPr>
              <w:t>120</w:t>
            </w:r>
          </w:p>
        </w:tc>
        <w:tc>
          <w:tcPr>
            <w:tcW w:w="2140" w:type="dxa"/>
            <w:vAlign w:val="bottom"/>
            <w:tcBorders>
              <w:bottom w:val="single" w:sz="8" w:color="3C3C3C"/>
              <w:right w:val="single" w:sz="8" w:color="7D7D7D"/>
            </w:tcBorders>
            <w:shd w:val="clear" w:color="auto" w:fill="FAF6EF"/>
          </w:tcPr>
          <w:p>
            <w:pPr>
              <w:jc w:val="center"/>
              <w:spacing w:after="0"/>
              <w:rPr>
                <w:sz w:val="20"/>
                <w:szCs w:val="20"/>
                <w:color w:val="auto"/>
              </w:rPr>
            </w:pPr>
            <w:r>
              <w:rPr>
                <w:rFonts w:ascii="Arial" w:cs="Arial" w:eastAsia="Arial" w:hAnsi="Arial"/>
                <w:sz w:val="16"/>
                <w:szCs w:val="16"/>
                <w:b w:val="1"/>
                <w:bCs w:val="1"/>
                <w:color w:val="auto"/>
              </w:rPr>
              <w:t>54</w:t>
            </w:r>
          </w:p>
        </w:tc>
        <w:tc>
          <w:tcPr>
            <w:tcW w:w="2120" w:type="dxa"/>
            <w:vAlign w:val="bottom"/>
            <w:tcBorders>
              <w:bottom w:val="single" w:sz="8" w:color="3C3C3C"/>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9"/>
              </w:rPr>
              <w:t>76.09</w:t>
            </w:r>
          </w:p>
        </w:tc>
        <w:tc>
          <w:tcPr>
            <w:tcW w:w="20" w:type="dxa"/>
            <w:vAlign w:val="bottom"/>
            <w:tcBorders>
              <w:bottom w:val="single" w:sz="8" w:color="3C3C3C"/>
            </w:tcBorders>
            <w:shd w:val="clear" w:color="auto" w:fill="7D7D7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FAF6EF"/>
            </w:tcBorders>
          </w:tcPr>
          <w:p>
            <w:pPr>
              <w:spacing w:after="0" w:line="20" w:lineRule="exact"/>
              <w:rPr>
                <w:sz w:val="1"/>
                <w:szCs w:val="1"/>
                <w:color w:val="auto"/>
              </w:rPr>
            </w:pPr>
          </w:p>
        </w:tc>
        <w:tc>
          <w:tcPr>
            <w:tcW w:w="2140" w:type="dxa"/>
            <w:vAlign w:val="bottom"/>
            <w:tcBorders>
              <w:top w:val="single" w:sz="8" w:color="FAF6EF"/>
              <w:bottom w:val="single" w:sz="8" w:color="3C3C3C"/>
            </w:tcBorders>
          </w:tcPr>
          <w:p>
            <w:pPr>
              <w:spacing w:after="0" w:line="20" w:lineRule="exact"/>
              <w:rPr>
                <w:sz w:val="1"/>
                <w:szCs w:val="1"/>
                <w:color w:val="auto"/>
              </w:rPr>
            </w:pPr>
          </w:p>
        </w:tc>
        <w:tc>
          <w:tcPr>
            <w:tcW w:w="2140" w:type="dxa"/>
            <w:vAlign w:val="bottom"/>
            <w:tcBorders>
              <w:top w:val="single" w:sz="8" w:color="FAF6EF"/>
              <w:bottom w:val="single" w:sz="8" w:color="3C3C3C"/>
            </w:tcBorders>
          </w:tcPr>
          <w:p>
            <w:pPr>
              <w:spacing w:after="0" w:line="20" w:lineRule="exact"/>
              <w:rPr>
                <w:sz w:val="1"/>
                <w:szCs w:val="1"/>
                <w:color w:val="auto"/>
              </w:rPr>
            </w:pPr>
          </w:p>
        </w:tc>
        <w:tc>
          <w:tcPr>
            <w:tcW w:w="2120" w:type="dxa"/>
            <w:vAlign w:val="bottom"/>
            <w:tcBorders>
              <w:top w:val="single" w:sz="8" w:color="FAF6EF"/>
              <w:bottom w:val="single" w:sz="8" w:color="3C3C3C"/>
            </w:tcBorders>
          </w:tcPr>
          <w:p>
            <w:pPr>
              <w:spacing w:after="0" w:line="20" w:lineRule="exact"/>
              <w:rPr>
                <w:sz w:val="1"/>
                <w:szCs w:val="1"/>
                <w:color w:val="auto"/>
              </w:rPr>
            </w:pPr>
          </w:p>
        </w:tc>
        <w:tc>
          <w:tcPr>
            <w:tcW w:w="20" w:type="dxa"/>
            <w:vAlign w:val="bottom"/>
            <w:tcBorders>
              <w:bottom w:val="single" w:sz="8" w:color="3C3C3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We disclose below details about specific goals in each of the ten categories to illustrate the rigor of the Annual CEO SMART Goals.</w:t>
      </w:r>
    </w:p>
    <w:p>
      <w:pPr>
        <w:spacing w:after="0" w:line="180" w:lineRule="exact"/>
        <w:rPr>
          <w:sz w:val="20"/>
          <w:szCs w:val="20"/>
          <w:color w:val="auto"/>
        </w:rPr>
      </w:pPr>
    </w:p>
    <w:p>
      <w:pPr>
        <w:jc w:val="both"/>
        <w:ind w:left="320" w:right="20" w:hanging="159"/>
        <w:spacing w:after="0" w:line="297" w:lineRule="auto"/>
        <w:tabs>
          <w:tab w:leader="none" w:pos="297" w:val="left"/>
        </w:tabs>
        <w:numPr>
          <w:ilvl w:val="0"/>
          <w:numId w:val="39"/>
        </w:numPr>
        <w:rPr>
          <w:rFonts w:ascii="Arial" w:cs="Arial" w:eastAsia="Arial" w:hAnsi="Arial"/>
          <w:sz w:val="12"/>
          <w:szCs w:val="12"/>
          <w:color w:val="auto"/>
        </w:rPr>
      </w:pPr>
      <w:r>
        <w:rPr>
          <w:rFonts w:ascii="Arial" w:cs="Arial" w:eastAsia="Arial" w:hAnsi="Arial"/>
          <w:sz w:val="16"/>
          <w:szCs w:val="16"/>
          <w:b w:val="1"/>
          <w:bCs w:val="1"/>
          <w:color w:val="auto"/>
        </w:rPr>
        <w:t>Grow Revenue</w:t>
      </w:r>
      <w:r>
        <w:rPr>
          <w:rFonts w:ascii="Arial" w:cs="Arial" w:eastAsia="Arial" w:hAnsi="Arial"/>
          <w:sz w:val="16"/>
          <w:szCs w:val="16"/>
          <w:color w:val="auto"/>
        </w:rPr>
        <w:t>. The Grow Revenue category included four goals with a possible total of 27 points. 10 out of the 27 points were assigned to a goal to grow</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revenue by approximately 22% to $1.950 billion in 2023. The 100% target was set at $3.0 billion and the 0% target was set at approximately $2.3 billion. An additional 10 points were assigned to a stretch goal to further grow revenue to $3.3 billion in 2023, with the 100% target set at $3.3 billion and the 0% target at 3.0 billion. We also included in the Grow Revenue category a target to grow revenue outside the United States in international geographies and to grow storage to 529 MWh. The table below shows how we performed against our goals in the Grow Revenue category.</w:t>
      </w:r>
    </w:p>
    <w:p>
      <w:pPr>
        <w:spacing w:after="0" w:line="143" w:lineRule="exact"/>
        <w:rPr>
          <w:sz w:val="20"/>
          <w:szCs w:val="20"/>
          <w:color w:val="auto"/>
        </w:rPr>
      </w:pPr>
    </w:p>
    <w:tbl>
      <w:tblPr>
        <w:tblLayout w:type="fixed"/>
        <w:tblInd w:w="330" w:type="dxa"/>
        <w:tblCellMar>
          <w:top w:w="0" w:type="dxa"/>
          <w:left w:w="0" w:type="dxa"/>
          <w:bottom w:w="0" w:type="dxa"/>
          <w:right w:w="0" w:type="dxa"/>
        </w:tblCellMar>
      </w:tblPr>
      <w:tr>
        <w:trPr>
          <w:trHeight w:val="187"/>
        </w:trPr>
        <w:tc>
          <w:tcPr>
            <w:tcW w:w="2600" w:type="dxa"/>
            <w:vAlign w:val="bottom"/>
            <w:tcBorders>
              <w:left w:val="single" w:sz="8" w:color="7D7D7D"/>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Revenue Targets</w:t>
            </w:r>
          </w:p>
        </w:tc>
        <w:tc>
          <w:tcPr>
            <w:tcW w:w="1200" w:type="dxa"/>
            <w:vAlign w:val="bottom"/>
            <w:tcBorders>
              <w:right w:val="single" w:sz="8" w:color="3C3C3C"/>
            </w:tcBorders>
            <w:vMerge w:val="restart"/>
            <w:shd w:val="clear" w:color="auto" w:fill="3C3C3C"/>
          </w:tcPr>
          <w:p>
            <w:pPr>
              <w:ind w:left="320"/>
              <w:spacing w:after="0"/>
              <w:rPr>
                <w:sz w:val="20"/>
                <w:szCs w:val="20"/>
                <w:color w:val="auto"/>
              </w:rPr>
            </w:pPr>
            <w:r>
              <w:rPr>
                <w:rFonts w:ascii="Arial" w:cs="Arial" w:eastAsia="Arial" w:hAnsi="Arial"/>
                <w:sz w:val="14"/>
                <w:szCs w:val="14"/>
                <w:b w:val="1"/>
                <w:bCs w:val="1"/>
                <w:color w:val="FFFFFF"/>
              </w:rPr>
              <w:t>Zero PT</w:t>
            </w:r>
          </w:p>
        </w:tc>
        <w:tc>
          <w:tcPr>
            <w:tcW w:w="138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7"/>
              </w:rPr>
              <w:t>At Target</w:t>
            </w:r>
          </w:p>
        </w:tc>
        <w:tc>
          <w:tcPr>
            <w:tcW w:w="12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Stretch</w:t>
            </w:r>
          </w:p>
        </w:tc>
        <w:tc>
          <w:tcPr>
            <w:tcW w:w="1400" w:type="dxa"/>
            <w:vAlign w:val="bottom"/>
            <w:tcBorders>
              <w:right w:val="single" w:sz="8" w:color="3C3C3C"/>
            </w:tcBorders>
            <w:vMerge w:val="restart"/>
            <w:shd w:val="clear" w:color="auto" w:fill="3C3C3C"/>
          </w:tcPr>
          <w:p>
            <w:pPr>
              <w:ind w:left="300"/>
              <w:spacing w:after="0"/>
              <w:rPr>
                <w:sz w:val="20"/>
                <w:szCs w:val="20"/>
                <w:color w:val="auto"/>
              </w:rPr>
            </w:pPr>
            <w:r>
              <w:rPr>
                <w:rFonts w:ascii="Arial" w:cs="Arial" w:eastAsia="Arial" w:hAnsi="Arial"/>
                <w:sz w:val="14"/>
                <w:szCs w:val="14"/>
                <w:b w:val="1"/>
                <w:bCs w:val="1"/>
                <w:color w:val="FFFFFF"/>
              </w:rPr>
              <w:t>2023 Actual</w:t>
            </w:r>
          </w:p>
        </w:tc>
        <w:tc>
          <w:tcPr>
            <w:tcW w:w="128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Number of Points</w:t>
            </w:r>
          </w:p>
        </w:tc>
        <w:tc>
          <w:tcPr>
            <w:tcW w:w="1420" w:type="dxa"/>
            <w:vAlign w:val="bottom"/>
            <w:vMerge w:val="restart"/>
            <w:shd w:val="clear" w:color="auto" w:fill="3C3C3C"/>
          </w:tcPr>
          <w:p>
            <w:pPr>
              <w:ind w:left="240"/>
              <w:spacing w:after="0"/>
              <w:rPr>
                <w:sz w:val="20"/>
                <w:szCs w:val="20"/>
                <w:color w:val="auto"/>
              </w:rPr>
            </w:pPr>
            <w:r>
              <w:rPr>
                <w:rFonts w:ascii="Arial" w:cs="Arial" w:eastAsia="Arial" w:hAnsi="Arial"/>
                <w:sz w:val="14"/>
                <w:szCs w:val="14"/>
                <w:b w:val="1"/>
                <w:bCs w:val="1"/>
                <w:color w:val="FFFFFF"/>
              </w:rPr>
              <w:t>Points Earned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600" w:type="dxa"/>
            <w:vAlign w:val="bottom"/>
            <w:tcBorders>
              <w:left w:val="single" w:sz="8" w:color="7D7D7D"/>
              <w:right w:val="single" w:sz="8" w:color="3C3C3C"/>
            </w:tcBorders>
            <w:vMerge w:val="continue"/>
            <w:shd w:val="clear" w:color="auto" w:fill="3C3C3C"/>
          </w:tcPr>
          <w:p>
            <w:pPr>
              <w:spacing w:after="0"/>
              <w:rPr>
                <w:sz w:val="8"/>
                <w:szCs w:val="8"/>
                <w:color w:val="auto"/>
              </w:rPr>
            </w:pPr>
          </w:p>
        </w:tc>
        <w:tc>
          <w:tcPr>
            <w:tcW w:w="1200" w:type="dxa"/>
            <w:vAlign w:val="bottom"/>
            <w:tcBorders>
              <w:right w:val="single" w:sz="8" w:color="3C3C3C"/>
            </w:tcBorders>
            <w:vMerge w:val="continue"/>
            <w:shd w:val="clear" w:color="auto" w:fill="3C3C3C"/>
          </w:tcPr>
          <w:p>
            <w:pPr>
              <w:spacing w:after="0"/>
              <w:rPr>
                <w:sz w:val="8"/>
                <w:szCs w:val="8"/>
                <w:color w:val="auto"/>
              </w:rPr>
            </w:pPr>
          </w:p>
        </w:tc>
        <w:tc>
          <w:tcPr>
            <w:tcW w:w="1380" w:type="dxa"/>
            <w:vAlign w:val="bottom"/>
            <w:tcBorders>
              <w:right w:val="single" w:sz="8" w:color="3C3C3C"/>
            </w:tcBorders>
            <w:vMerge w:val="restart"/>
            <w:shd w:val="clear" w:color="auto" w:fill="3C3C3C"/>
          </w:tcPr>
          <w:p>
            <w:pPr>
              <w:jc w:val="right"/>
              <w:ind w:right="385"/>
              <w:spacing w:after="0"/>
              <w:rPr>
                <w:sz w:val="20"/>
                <w:szCs w:val="20"/>
                <w:color w:val="auto"/>
              </w:rPr>
            </w:pPr>
            <w:r>
              <w:rPr>
                <w:rFonts w:ascii="Arial" w:cs="Arial" w:eastAsia="Arial" w:hAnsi="Arial"/>
                <w:sz w:val="14"/>
                <w:szCs w:val="14"/>
                <w:b w:val="1"/>
                <w:bCs w:val="1"/>
                <w:color w:val="FFFFFF"/>
              </w:rPr>
              <w:t>(100%)</w:t>
            </w:r>
          </w:p>
        </w:tc>
        <w:tc>
          <w:tcPr>
            <w:tcW w:w="1260" w:type="dxa"/>
            <w:vAlign w:val="bottom"/>
            <w:tcBorders>
              <w:right w:val="single" w:sz="8" w:color="3C3C3C"/>
            </w:tcBorders>
            <w:vMerge w:val="continue"/>
            <w:shd w:val="clear" w:color="auto" w:fill="3C3C3C"/>
          </w:tcPr>
          <w:p>
            <w:pPr>
              <w:spacing w:after="0"/>
              <w:rPr>
                <w:sz w:val="8"/>
                <w:szCs w:val="8"/>
                <w:color w:val="auto"/>
              </w:rPr>
            </w:pPr>
          </w:p>
        </w:tc>
        <w:tc>
          <w:tcPr>
            <w:tcW w:w="1400" w:type="dxa"/>
            <w:vAlign w:val="bottom"/>
            <w:tcBorders>
              <w:right w:val="single" w:sz="8" w:color="3C3C3C"/>
            </w:tcBorders>
            <w:vMerge w:val="continue"/>
            <w:shd w:val="clear" w:color="auto" w:fill="3C3C3C"/>
          </w:tcPr>
          <w:p>
            <w:pPr>
              <w:spacing w:after="0"/>
              <w:rPr>
                <w:sz w:val="8"/>
                <w:szCs w:val="8"/>
                <w:color w:val="auto"/>
              </w:rPr>
            </w:pPr>
          </w:p>
        </w:tc>
        <w:tc>
          <w:tcPr>
            <w:tcW w:w="128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7"/>
              </w:rPr>
              <w:t>Possible</w:t>
            </w:r>
          </w:p>
        </w:tc>
        <w:tc>
          <w:tcPr>
            <w:tcW w:w="1420" w:type="dxa"/>
            <w:vAlign w:val="bottom"/>
            <w:vMerge w:val="continue"/>
            <w:shd w:val="clear" w:color="auto" w:fill="3C3C3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600" w:type="dxa"/>
            <w:vAlign w:val="bottom"/>
            <w:tcBorders>
              <w:left w:val="single" w:sz="8" w:color="7D7D7D"/>
              <w:right w:val="single" w:sz="8" w:color="3C3C3C"/>
            </w:tcBorders>
            <w:shd w:val="clear" w:color="auto" w:fill="3C3C3C"/>
          </w:tcPr>
          <w:p>
            <w:pPr>
              <w:spacing w:after="0"/>
              <w:rPr>
                <w:sz w:val="9"/>
                <w:szCs w:val="9"/>
                <w:color w:val="auto"/>
              </w:rPr>
            </w:pPr>
          </w:p>
        </w:tc>
        <w:tc>
          <w:tcPr>
            <w:tcW w:w="1200" w:type="dxa"/>
            <w:vAlign w:val="bottom"/>
            <w:tcBorders>
              <w:right w:val="single" w:sz="8" w:color="3C3C3C"/>
            </w:tcBorders>
            <w:shd w:val="clear" w:color="auto" w:fill="3C3C3C"/>
          </w:tcPr>
          <w:p>
            <w:pPr>
              <w:spacing w:after="0"/>
              <w:rPr>
                <w:sz w:val="9"/>
                <w:szCs w:val="9"/>
                <w:color w:val="auto"/>
              </w:rPr>
            </w:pPr>
          </w:p>
        </w:tc>
        <w:tc>
          <w:tcPr>
            <w:tcW w:w="1380" w:type="dxa"/>
            <w:vAlign w:val="bottom"/>
            <w:tcBorders>
              <w:right w:val="single" w:sz="8" w:color="3C3C3C"/>
            </w:tcBorders>
            <w:vMerge w:val="continue"/>
            <w:shd w:val="clear" w:color="auto" w:fill="3C3C3C"/>
          </w:tcPr>
          <w:p>
            <w:pPr>
              <w:spacing w:after="0"/>
              <w:rPr>
                <w:sz w:val="9"/>
                <w:szCs w:val="9"/>
                <w:color w:val="auto"/>
              </w:rPr>
            </w:pPr>
          </w:p>
        </w:tc>
        <w:tc>
          <w:tcPr>
            <w:tcW w:w="1260" w:type="dxa"/>
            <w:vAlign w:val="bottom"/>
            <w:tcBorders>
              <w:right w:val="single" w:sz="8" w:color="3C3C3C"/>
            </w:tcBorders>
            <w:shd w:val="clear" w:color="auto" w:fill="3C3C3C"/>
          </w:tcPr>
          <w:p>
            <w:pPr>
              <w:spacing w:after="0"/>
              <w:rPr>
                <w:sz w:val="9"/>
                <w:szCs w:val="9"/>
                <w:color w:val="auto"/>
              </w:rPr>
            </w:pPr>
          </w:p>
        </w:tc>
        <w:tc>
          <w:tcPr>
            <w:tcW w:w="1400" w:type="dxa"/>
            <w:vAlign w:val="bottom"/>
            <w:tcBorders>
              <w:right w:val="single" w:sz="8" w:color="3C3C3C"/>
            </w:tcBorders>
            <w:shd w:val="clear" w:color="auto" w:fill="3C3C3C"/>
          </w:tcPr>
          <w:p>
            <w:pPr>
              <w:spacing w:after="0"/>
              <w:rPr>
                <w:sz w:val="9"/>
                <w:szCs w:val="9"/>
                <w:color w:val="auto"/>
              </w:rPr>
            </w:pPr>
          </w:p>
        </w:tc>
        <w:tc>
          <w:tcPr>
            <w:tcW w:w="1280" w:type="dxa"/>
            <w:vAlign w:val="bottom"/>
            <w:tcBorders>
              <w:right w:val="single" w:sz="8" w:color="3C3C3C"/>
            </w:tcBorders>
            <w:vMerge w:val="continue"/>
            <w:shd w:val="clear" w:color="auto" w:fill="3C3C3C"/>
          </w:tcPr>
          <w:p>
            <w:pPr>
              <w:spacing w:after="0"/>
              <w:rPr>
                <w:sz w:val="9"/>
                <w:szCs w:val="9"/>
                <w:color w:val="auto"/>
              </w:rPr>
            </w:pPr>
          </w:p>
        </w:tc>
        <w:tc>
          <w:tcPr>
            <w:tcW w:w="1420" w:type="dxa"/>
            <w:vAlign w:val="bottom"/>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600" w:type="dxa"/>
            <w:vAlign w:val="bottom"/>
            <w:tcBorders>
              <w:left w:val="single" w:sz="8" w:color="7D7D7D"/>
              <w:right w:val="single" w:sz="8" w:color="7D7D7D"/>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Net Revenue (in millions)</w:t>
            </w:r>
          </w:p>
        </w:tc>
        <w:tc>
          <w:tcPr>
            <w:tcW w:w="12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$2,330.9</w:t>
            </w:r>
          </w:p>
        </w:tc>
        <w:tc>
          <w:tcPr>
            <w:tcW w:w="13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$3,000.0</w:t>
            </w:r>
          </w:p>
        </w:tc>
        <w:tc>
          <w:tcPr>
            <w:tcW w:w="12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$3,300.2</w:t>
            </w:r>
          </w:p>
        </w:tc>
        <w:tc>
          <w:tcPr>
            <w:tcW w:w="14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$2,290.8</w:t>
            </w:r>
          </w:p>
        </w:tc>
        <w:tc>
          <w:tcPr>
            <w:tcW w:w="12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20.0</w:t>
            </w:r>
          </w:p>
        </w:tc>
        <w:tc>
          <w:tcPr>
            <w:tcW w:w="14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600" w:type="dxa"/>
            <w:vAlign w:val="bottom"/>
            <w:tcBorders>
              <w:left w:val="single" w:sz="8" w:color="7D7D7D"/>
              <w:right w:val="single" w:sz="8" w:color="7D7D7D"/>
            </w:tcBorders>
          </w:tcPr>
          <w:p>
            <w:pPr>
              <w:ind w:left="100"/>
              <w:spacing w:after="0"/>
              <w:rPr>
                <w:sz w:val="20"/>
                <w:szCs w:val="20"/>
                <w:color w:val="auto"/>
              </w:rPr>
            </w:pPr>
            <w:r>
              <w:rPr>
                <w:rFonts w:ascii="Arial" w:cs="Arial" w:eastAsia="Arial" w:hAnsi="Arial"/>
                <w:sz w:val="16"/>
                <w:szCs w:val="16"/>
                <w:b w:val="1"/>
                <w:bCs w:val="1"/>
                <w:color w:val="auto"/>
              </w:rPr>
              <w:t>International Revenue (in</w:t>
            </w:r>
          </w:p>
        </w:tc>
        <w:tc>
          <w:tcPr>
            <w:tcW w:w="120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8"/>
              </w:rPr>
              <w:t>$480.6</w:t>
            </w:r>
          </w:p>
        </w:tc>
        <w:tc>
          <w:tcPr>
            <w:tcW w:w="138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8"/>
              </w:rPr>
              <w:t>$845.6</w:t>
            </w:r>
          </w:p>
        </w:tc>
        <w:tc>
          <w:tcPr>
            <w:tcW w:w="126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7"/>
              </w:rPr>
              <w:t>N/A</w:t>
            </w:r>
          </w:p>
        </w:tc>
        <w:tc>
          <w:tcPr>
            <w:tcW w:w="140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8"/>
              </w:rPr>
              <w:t>$773.1</w:t>
            </w:r>
          </w:p>
        </w:tc>
        <w:tc>
          <w:tcPr>
            <w:tcW w:w="128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8"/>
              </w:rPr>
              <w:t>5.0</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6"/>
              </w:rPr>
              <w:t>4.01</w:t>
            </w:r>
          </w:p>
        </w:tc>
        <w:tc>
          <w:tcPr>
            <w:tcW w:w="20" w:type="dxa"/>
            <w:vAlign w:val="bottom"/>
            <w:shd w:val="clear" w:color="auto" w:fill="7D7D7D"/>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600" w:type="dxa"/>
            <w:vAlign w:val="bottom"/>
            <w:tcBorders>
              <w:left w:val="single" w:sz="8" w:color="7D7D7D"/>
              <w:right w:val="single" w:sz="8" w:color="7D7D7D"/>
            </w:tcBorders>
            <w:vMerge w:val="restart"/>
          </w:tcPr>
          <w:p>
            <w:pPr>
              <w:ind w:left="100"/>
              <w:spacing w:after="0"/>
              <w:rPr>
                <w:sz w:val="20"/>
                <w:szCs w:val="20"/>
                <w:color w:val="auto"/>
              </w:rPr>
            </w:pPr>
            <w:r>
              <w:rPr>
                <w:rFonts w:ascii="Arial" w:cs="Arial" w:eastAsia="Arial" w:hAnsi="Arial"/>
                <w:sz w:val="16"/>
                <w:szCs w:val="16"/>
                <w:b w:val="1"/>
                <w:bCs w:val="1"/>
                <w:color w:val="auto"/>
              </w:rPr>
              <w:t>millions)</w:t>
            </w:r>
          </w:p>
        </w:tc>
        <w:tc>
          <w:tcPr>
            <w:tcW w:w="1200" w:type="dxa"/>
            <w:vAlign w:val="bottom"/>
            <w:tcBorders>
              <w:right w:val="single" w:sz="8" w:color="7D7D7D"/>
            </w:tcBorders>
            <w:vMerge w:val="continue"/>
          </w:tcPr>
          <w:p>
            <w:pPr>
              <w:spacing w:after="0"/>
              <w:rPr>
                <w:sz w:val="8"/>
                <w:szCs w:val="8"/>
                <w:color w:val="auto"/>
              </w:rPr>
            </w:pPr>
          </w:p>
        </w:tc>
        <w:tc>
          <w:tcPr>
            <w:tcW w:w="1380" w:type="dxa"/>
            <w:vAlign w:val="bottom"/>
            <w:tcBorders>
              <w:right w:val="single" w:sz="8" w:color="7D7D7D"/>
            </w:tcBorders>
            <w:vMerge w:val="continue"/>
          </w:tcPr>
          <w:p>
            <w:pPr>
              <w:spacing w:after="0"/>
              <w:rPr>
                <w:sz w:val="8"/>
                <w:szCs w:val="8"/>
                <w:color w:val="auto"/>
              </w:rPr>
            </w:pPr>
          </w:p>
        </w:tc>
        <w:tc>
          <w:tcPr>
            <w:tcW w:w="1260" w:type="dxa"/>
            <w:vAlign w:val="bottom"/>
            <w:tcBorders>
              <w:right w:val="single" w:sz="8" w:color="7D7D7D"/>
            </w:tcBorders>
            <w:vMerge w:val="continue"/>
          </w:tcPr>
          <w:p>
            <w:pPr>
              <w:spacing w:after="0"/>
              <w:rPr>
                <w:sz w:val="8"/>
                <w:szCs w:val="8"/>
                <w:color w:val="auto"/>
              </w:rPr>
            </w:pPr>
          </w:p>
        </w:tc>
        <w:tc>
          <w:tcPr>
            <w:tcW w:w="1400" w:type="dxa"/>
            <w:vAlign w:val="bottom"/>
            <w:tcBorders>
              <w:right w:val="single" w:sz="8" w:color="7D7D7D"/>
            </w:tcBorders>
            <w:vMerge w:val="continue"/>
          </w:tcPr>
          <w:p>
            <w:pPr>
              <w:spacing w:after="0"/>
              <w:rPr>
                <w:sz w:val="8"/>
                <w:szCs w:val="8"/>
                <w:color w:val="auto"/>
              </w:rPr>
            </w:pPr>
          </w:p>
        </w:tc>
        <w:tc>
          <w:tcPr>
            <w:tcW w:w="1280" w:type="dxa"/>
            <w:vAlign w:val="bottom"/>
            <w:tcBorders>
              <w:right w:val="single" w:sz="8" w:color="7D7D7D"/>
            </w:tcBorders>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0" w:type="dxa"/>
            <w:vAlign w:val="bottom"/>
            <w:shd w:val="clear" w:color="auto" w:fill="7D7D7D"/>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600" w:type="dxa"/>
            <w:vAlign w:val="bottom"/>
            <w:tcBorders>
              <w:left w:val="single" w:sz="8" w:color="7D7D7D"/>
              <w:right w:val="single" w:sz="8" w:color="7D7D7D"/>
            </w:tcBorders>
            <w:vMerge w:val="continue"/>
          </w:tcPr>
          <w:p>
            <w:pPr>
              <w:spacing w:after="0"/>
              <w:rPr>
                <w:sz w:val="10"/>
                <w:szCs w:val="10"/>
                <w:color w:val="auto"/>
              </w:rPr>
            </w:pPr>
          </w:p>
        </w:tc>
        <w:tc>
          <w:tcPr>
            <w:tcW w:w="1200" w:type="dxa"/>
            <w:vAlign w:val="bottom"/>
            <w:tcBorders>
              <w:right w:val="single" w:sz="8" w:color="7D7D7D"/>
            </w:tcBorders>
          </w:tcPr>
          <w:p>
            <w:pPr>
              <w:spacing w:after="0"/>
              <w:rPr>
                <w:sz w:val="10"/>
                <w:szCs w:val="10"/>
                <w:color w:val="auto"/>
              </w:rPr>
            </w:pPr>
          </w:p>
        </w:tc>
        <w:tc>
          <w:tcPr>
            <w:tcW w:w="1380" w:type="dxa"/>
            <w:vAlign w:val="bottom"/>
            <w:tcBorders>
              <w:right w:val="single" w:sz="8" w:color="7D7D7D"/>
            </w:tcBorders>
          </w:tcPr>
          <w:p>
            <w:pPr>
              <w:spacing w:after="0"/>
              <w:rPr>
                <w:sz w:val="10"/>
                <w:szCs w:val="10"/>
                <w:color w:val="auto"/>
              </w:rPr>
            </w:pPr>
          </w:p>
        </w:tc>
        <w:tc>
          <w:tcPr>
            <w:tcW w:w="1260" w:type="dxa"/>
            <w:vAlign w:val="bottom"/>
            <w:tcBorders>
              <w:right w:val="single" w:sz="8" w:color="7D7D7D"/>
            </w:tcBorders>
          </w:tcPr>
          <w:p>
            <w:pPr>
              <w:spacing w:after="0"/>
              <w:rPr>
                <w:sz w:val="10"/>
                <w:szCs w:val="10"/>
                <w:color w:val="auto"/>
              </w:rPr>
            </w:pPr>
          </w:p>
        </w:tc>
        <w:tc>
          <w:tcPr>
            <w:tcW w:w="1400" w:type="dxa"/>
            <w:vAlign w:val="bottom"/>
            <w:tcBorders>
              <w:right w:val="single" w:sz="8" w:color="7D7D7D"/>
            </w:tcBorders>
          </w:tcPr>
          <w:p>
            <w:pPr>
              <w:spacing w:after="0"/>
              <w:rPr>
                <w:sz w:val="10"/>
                <w:szCs w:val="10"/>
                <w:color w:val="auto"/>
              </w:rPr>
            </w:pPr>
          </w:p>
        </w:tc>
        <w:tc>
          <w:tcPr>
            <w:tcW w:w="1280" w:type="dxa"/>
            <w:vAlign w:val="bottom"/>
            <w:tcBorders>
              <w:right w:val="single" w:sz="8" w:color="7D7D7D"/>
            </w:tcBorders>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600" w:type="dxa"/>
            <w:vAlign w:val="bottom"/>
            <w:tcBorders>
              <w:left w:val="single" w:sz="8" w:color="7D7D7D"/>
              <w:right w:val="single" w:sz="8" w:color="7D7D7D"/>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Storage (in MWh)</w:t>
            </w:r>
          </w:p>
        </w:tc>
        <w:tc>
          <w:tcPr>
            <w:tcW w:w="12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7"/>
              </w:rPr>
              <w:t>509</w:t>
            </w:r>
          </w:p>
        </w:tc>
        <w:tc>
          <w:tcPr>
            <w:tcW w:w="13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rPr>
              <w:t>529</w:t>
            </w:r>
          </w:p>
        </w:tc>
        <w:tc>
          <w:tcPr>
            <w:tcW w:w="12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7"/>
              </w:rPr>
              <w:t>N/A</w:t>
            </w:r>
          </w:p>
        </w:tc>
        <w:tc>
          <w:tcPr>
            <w:tcW w:w="14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351.7</w:t>
            </w:r>
          </w:p>
        </w:tc>
        <w:tc>
          <w:tcPr>
            <w:tcW w:w="12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2.0</w:t>
            </w:r>
          </w:p>
        </w:tc>
        <w:tc>
          <w:tcPr>
            <w:tcW w:w="14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600" w:type="dxa"/>
            <w:vAlign w:val="bottom"/>
            <w:tcBorders>
              <w:left w:val="single" w:sz="8" w:color="7D7D7D"/>
              <w:right w:val="single" w:sz="8" w:color="7D7D7D"/>
            </w:tcBorders>
          </w:tcPr>
          <w:p>
            <w:pPr>
              <w:spacing w:after="0"/>
              <w:rPr>
                <w:sz w:val="20"/>
                <w:szCs w:val="20"/>
                <w:color w:val="auto"/>
              </w:rPr>
            </w:pPr>
          </w:p>
        </w:tc>
        <w:tc>
          <w:tcPr>
            <w:tcW w:w="1200" w:type="dxa"/>
            <w:vAlign w:val="bottom"/>
            <w:tcBorders>
              <w:right w:val="single" w:sz="8" w:color="7D7D7D"/>
            </w:tcBorders>
          </w:tcPr>
          <w:p>
            <w:pPr>
              <w:spacing w:after="0"/>
              <w:rPr>
                <w:sz w:val="20"/>
                <w:szCs w:val="20"/>
                <w:color w:val="auto"/>
              </w:rPr>
            </w:pPr>
          </w:p>
        </w:tc>
        <w:tc>
          <w:tcPr>
            <w:tcW w:w="1380" w:type="dxa"/>
            <w:vAlign w:val="bottom"/>
            <w:tcBorders>
              <w:right w:val="single" w:sz="8" w:color="7D7D7D"/>
            </w:tcBorders>
          </w:tcPr>
          <w:p>
            <w:pPr>
              <w:spacing w:after="0"/>
              <w:rPr>
                <w:sz w:val="20"/>
                <w:szCs w:val="20"/>
                <w:color w:val="auto"/>
              </w:rPr>
            </w:pPr>
          </w:p>
        </w:tc>
        <w:tc>
          <w:tcPr>
            <w:tcW w:w="1260" w:type="dxa"/>
            <w:vAlign w:val="bottom"/>
            <w:tcBorders>
              <w:right w:val="single" w:sz="8" w:color="7D7D7D"/>
            </w:tcBorders>
          </w:tcPr>
          <w:p>
            <w:pPr>
              <w:spacing w:after="0"/>
              <w:rPr>
                <w:sz w:val="20"/>
                <w:szCs w:val="20"/>
                <w:color w:val="auto"/>
              </w:rPr>
            </w:pPr>
          </w:p>
        </w:tc>
        <w:tc>
          <w:tcPr>
            <w:tcW w:w="1400" w:type="dxa"/>
            <w:vAlign w:val="bottom"/>
            <w:tcBorders>
              <w:right w:val="single" w:sz="8" w:color="7D7D7D"/>
            </w:tcBorders>
          </w:tcPr>
          <w:p>
            <w:pPr>
              <w:spacing w:after="0"/>
              <w:rPr>
                <w:sz w:val="20"/>
                <w:szCs w:val="20"/>
                <w:color w:val="auto"/>
              </w:rPr>
            </w:pPr>
          </w:p>
        </w:tc>
        <w:tc>
          <w:tcPr>
            <w:tcW w:w="1280" w:type="dxa"/>
            <w:vAlign w:val="bottom"/>
            <w:tcBorders>
              <w:right w:val="single" w:sz="8" w:color="7D7D7D"/>
            </w:tcBorders>
          </w:tcPr>
          <w:p>
            <w:pPr>
              <w:jc w:val="center"/>
              <w:spacing w:after="0"/>
              <w:rPr>
                <w:sz w:val="20"/>
                <w:szCs w:val="20"/>
                <w:color w:val="auto"/>
              </w:rPr>
            </w:pPr>
            <w:r>
              <w:rPr>
                <w:rFonts w:ascii="Arial" w:cs="Arial" w:eastAsia="Arial" w:hAnsi="Arial"/>
                <w:sz w:val="16"/>
                <w:szCs w:val="16"/>
                <w:b w:val="1"/>
                <w:bCs w:val="1"/>
                <w:color w:val="auto"/>
                <w:w w:val="96"/>
              </w:rPr>
              <w:t>27.0</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6"/>
              </w:rPr>
              <w:t>4.01</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left="320" w:right="20" w:hanging="159"/>
        <w:spacing w:after="0" w:line="291" w:lineRule="auto"/>
        <w:tabs>
          <w:tab w:leader="none" w:pos="297" w:val="left"/>
        </w:tabs>
        <w:numPr>
          <w:ilvl w:val="0"/>
          <w:numId w:val="40"/>
        </w:numPr>
        <w:rPr>
          <w:rFonts w:ascii="Arial" w:cs="Arial" w:eastAsia="Arial" w:hAnsi="Arial"/>
          <w:sz w:val="12"/>
          <w:szCs w:val="12"/>
          <w:color w:val="auto"/>
        </w:rPr>
      </w:pPr>
      <w:r>
        <w:rPr>
          <w:rFonts w:ascii="Arial" w:cs="Arial" w:eastAsia="Arial" w:hAnsi="Arial"/>
          <w:sz w:val="16"/>
          <w:szCs w:val="16"/>
          <w:b w:val="1"/>
          <w:bCs w:val="1"/>
          <w:color w:val="auto"/>
        </w:rPr>
        <w:t xml:space="preserve">Profit Before Taxes ("PBT"). </w:t>
      </w:r>
      <w:r>
        <w:rPr>
          <w:rFonts w:ascii="Arial" w:cs="Arial" w:eastAsia="Arial" w:hAnsi="Arial"/>
          <w:sz w:val="16"/>
          <w:szCs w:val="16"/>
          <w:color w:val="auto"/>
        </w:rPr>
        <w:t>The PBT category included seven goals with a possible total of 19 points, which related to non-GAAP gross margin (“GM”),</w:t>
      </w:r>
      <w:r>
        <w:rPr>
          <w:rFonts w:ascii="Arial" w:cs="Arial" w:eastAsia="Arial" w:hAnsi="Arial"/>
          <w:sz w:val="16"/>
          <w:szCs w:val="16"/>
          <w:b w:val="1"/>
          <w:bCs w:val="1"/>
          <w:color w:val="auto"/>
        </w:rPr>
        <w:t xml:space="preserve"> </w:t>
      </w:r>
      <w:r>
        <w:rPr>
          <w:rFonts w:ascii="Arial" w:cs="Arial" w:eastAsia="Arial" w:hAnsi="Arial"/>
          <w:sz w:val="16"/>
          <w:szCs w:val="16"/>
          <w:color w:val="auto"/>
        </w:rPr>
        <w:t>non-GAAP operating expenses (“OPEX”), non-GAAP PBT, non-GAAP earnings per share (“EPS”) and adjusted free cash flow. This included a five point</w:t>
      </w:r>
    </w:p>
    <w:p>
      <w:pPr>
        <w:ind w:left="320" w:right="20"/>
        <w:spacing w:after="0" w:line="301" w:lineRule="auto"/>
        <w:rPr>
          <w:rFonts w:ascii="Arial" w:cs="Arial" w:eastAsia="Arial" w:hAnsi="Arial"/>
          <w:sz w:val="12"/>
          <w:szCs w:val="12"/>
          <w:color w:val="auto"/>
        </w:rPr>
      </w:pPr>
      <w:r>
        <w:rPr>
          <w:rFonts w:ascii="Arial" w:cs="Arial" w:eastAsia="Arial" w:hAnsi="Arial"/>
          <w:sz w:val="16"/>
          <w:szCs w:val="16"/>
          <w:color w:val="auto"/>
        </w:rPr>
        <w:t>stretch goal to improve non-GAAP GM by 200 basis points from target. In addition, the goal to maximize the benefit under the Inflation Reduction Act (“IRA”) was also considered a five point stretch goal. The table below shows how we performed against our goals in the PBT category.</w:t>
      </w: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46" w:name="page47"/>
    <w:bookmarkEnd w:id="46"/>
    <w:tbl>
      <w:tblPr>
        <w:tblLayout w:type="fixed"/>
        <w:tblInd w:w="170" w:type="dxa"/>
        <w:tblCellMar>
          <w:top w:w="0" w:type="dxa"/>
          <w:left w:w="0" w:type="dxa"/>
          <w:bottom w:w="0" w:type="dxa"/>
          <w:right w:w="0" w:type="dxa"/>
        </w:tblCellMar>
      </w:tblPr>
      <w:tr>
        <w:trPr>
          <w:trHeight w:val="187"/>
        </w:trPr>
        <w:tc>
          <w:tcPr>
            <w:tcW w:w="2600" w:type="dxa"/>
            <w:vAlign w:val="bottom"/>
            <w:tcBorders>
              <w:left w:val="single" w:sz="8" w:color="7D7D7D"/>
              <w:right w:val="single" w:sz="8" w:color="3C3C3C"/>
            </w:tcBorders>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PBT Targets</w:t>
            </w:r>
          </w:p>
        </w:tc>
        <w:tc>
          <w:tcPr>
            <w:tcW w:w="1200" w:type="dxa"/>
            <w:vAlign w:val="bottom"/>
            <w:tcBorders>
              <w:right w:val="single" w:sz="8" w:color="3C3C3C"/>
            </w:tcBorders>
            <w:vMerge w:val="restart"/>
            <w:shd w:val="clear" w:color="auto" w:fill="3C3C3C"/>
          </w:tcPr>
          <w:p>
            <w:pPr>
              <w:ind w:left="320"/>
              <w:spacing w:after="0"/>
              <w:rPr>
                <w:sz w:val="20"/>
                <w:szCs w:val="20"/>
                <w:color w:val="auto"/>
              </w:rPr>
            </w:pPr>
            <w:r>
              <w:rPr>
                <w:rFonts w:ascii="Arial" w:cs="Arial" w:eastAsia="Arial" w:hAnsi="Arial"/>
                <w:sz w:val="14"/>
                <w:szCs w:val="14"/>
                <w:b w:val="1"/>
                <w:bCs w:val="1"/>
                <w:color w:val="FFFFFF"/>
              </w:rPr>
              <w:t>Zero PT</w:t>
            </w:r>
          </w:p>
        </w:tc>
        <w:tc>
          <w:tcPr>
            <w:tcW w:w="138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7"/>
              </w:rPr>
              <w:t>At Target</w:t>
            </w:r>
          </w:p>
        </w:tc>
        <w:tc>
          <w:tcPr>
            <w:tcW w:w="12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Stretch</w:t>
            </w:r>
          </w:p>
        </w:tc>
        <w:tc>
          <w:tcPr>
            <w:tcW w:w="1400" w:type="dxa"/>
            <w:vAlign w:val="bottom"/>
            <w:tcBorders>
              <w:right w:val="single" w:sz="8" w:color="3C3C3C"/>
            </w:tcBorders>
            <w:vMerge w:val="restart"/>
            <w:shd w:val="clear" w:color="auto" w:fill="3C3C3C"/>
          </w:tcPr>
          <w:p>
            <w:pPr>
              <w:ind w:left="300"/>
              <w:spacing w:after="0"/>
              <w:rPr>
                <w:sz w:val="20"/>
                <w:szCs w:val="20"/>
                <w:color w:val="auto"/>
              </w:rPr>
            </w:pPr>
            <w:r>
              <w:rPr>
                <w:rFonts w:ascii="Arial" w:cs="Arial" w:eastAsia="Arial" w:hAnsi="Arial"/>
                <w:sz w:val="14"/>
                <w:szCs w:val="14"/>
                <w:b w:val="1"/>
                <w:bCs w:val="1"/>
                <w:color w:val="FFFFFF"/>
              </w:rPr>
              <w:t>2023 Actual</w:t>
            </w:r>
          </w:p>
        </w:tc>
        <w:tc>
          <w:tcPr>
            <w:tcW w:w="128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Number of Points</w:t>
            </w:r>
          </w:p>
        </w:tc>
        <w:tc>
          <w:tcPr>
            <w:tcW w:w="1420" w:type="dxa"/>
            <w:vAlign w:val="bottom"/>
            <w:vMerge w:val="restart"/>
            <w:shd w:val="clear" w:color="auto" w:fill="3C3C3C"/>
          </w:tcPr>
          <w:p>
            <w:pPr>
              <w:ind w:left="240"/>
              <w:spacing w:after="0"/>
              <w:rPr>
                <w:sz w:val="20"/>
                <w:szCs w:val="20"/>
                <w:color w:val="auto"/>
              </w:rPr>
            </w:pPr>
            <w:r>
              <w:rPr>
                <w:rFonts w:ascii="Arial" w:cs="Arial" w:eastAsia="Arial" w:hAnsi="Arial"/>
                <w:sz w:val="14"/>
                <w:szCs w:val="14"/>
                <w:b w:val="1"/>
                <w:bCs w:val="1"/>
                <w:color w:val="FFFFFF"/>
              </w:rPr>
              <w:t>Points Earned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600" w:type="dxa"/>
            <w:vAlign w:val="bottom"/>
            <w:tcBorders>
              <w:left w:val="single" w:sz="8" w:color="7D7D7D"/>
              <w:right w:val="single" w:sz="8" w:color="3C3C3C"/>
            </w:tcBorders>
            <w:vMerge w:val="continue"/>
            <w:shd w:val="clear" w:color="auto" w:fill="3C3C3C"/>
          </w:tcPr>
          <w:p>
            <w:pPr>
              <w:spacing w:after="0"/>
              <w:rPr>
                <w:sz w:val="8"/>
                <w:szCs w:val="8"/>
                <w:color w:val="auto"/>
              </w:rPr>
            </w:pPr>
          </w:p>
        </w:tc>
        <w:tc>
          <w:tcPr>
            <w:tcW w:w="1200" w:type="dxa"/>
            <w:vAlign w:val="bottom"/>
            <w:tcBorders>
              <w:right w:val="single" w:sz="8" w:color="3C3C3C"/>
            </w:tcBorders>
            <w:vMerge w:val="continue"/>
            <w:shd w:val="clear" w:color="auto" w:fill="3C3C3C"/>
          </w:tcPr>
          <w:p>
            <w:pPr>
              <w:spacing w:after="0"/>
              <w:rPr>
                <w:sz w:val="8"/>
                <w:szCs w:val="8"/>
                <w:color w:val="auto"/>
              </w:rPr>
            </w:pPr>
          </w:p>
        </w:tc>
        <w:tc>
          <w:tcPr>
            <w:tcW w:w="1380" w:type="dxa"/>
            <w:vAlign w:val="bottom"/>
            <w:tcBorders>
              <w:right w:val="single" w:sz="8" w:color="3C3C3C"/>
            </w:tcBorders>
            <w:vMerge w:val="restart"/>
            <w:shd w:val="clear" w:color="auto" w:fill="3C3C3C"/>
          </w:tcPr>
          <w:p>
            <w:pPr>
              <w:jc w:val="right"/>
              <w:ind w:right="384"/>
              <w:spacing w:after="0"/>
              <w:rPr>
                <w:sz w:val="20"/>
                <w:szCs w:val="20"/>
                <w:color w:val="auto"/>
              </w:rPr>
            </w:pPr>
            <w:r>
              <w:rPr>
                <w:rFonts w:ascii="Arial" w:cs="Arial" w:eastAsia="Arial" w:hAnsi="Arial"/>
                <w:sz w:val="14"/>
                <w:szCs w:val="14"/>
                <w:b w:val="1"/>
                <w:bCs w:val="1"/>
                <w:color w:val="FFFFFF"/>
              </w:rPr>
              <w:t>(100%)</w:t>
            </w:r>
          </w:p>
        </w:tc>
        <w:tc>
          <w:tcPr>
            <w:tcW w:w="1260" w:type="dxa"/>
            <w:vAlign w:val="bottom"/>
            <w:tcBorders>
              <w:right w:val="single" w:sz="8" w:color="3C3C3C"/>
            </w:tcBorders>
            <w:vMerge w:val="continue"/>
            <w:shd w:val="clear" w:color="auto" w:fill="3C3C3C"/>
          </w:tcPr>
          <w:p>
            <w:pPr>
              <w:spacing w:after="0"/>
              <w:rPr>
                <w:sz w:val="8"/>
                <w:szCs w:val="8"/>
                <w:color w:val="auto"/>
              </w:rPr>
            </w:pPr>
          </w:p>
        </w:tc>
        <w:tc>
          <w:tcPr>
            <w:tcW w:w="1400" w:type="dxa"/>
            <w:vAlign w:val="bottom"/>
            <w:tcBorders>
              <w:right w:val="single" w:sz="8" w:color="3C3C3C"/>
            </w:tcBorders>
            <w:vMerge w:val="continue"/>
            <w:shd w:val="clear" w:color="auto" w:fill="3C3C3C"/>
          </w:tcPr>
          <w:p>
            <w:pPr>
              <w:spacing w:after="0"/>
              <w:rPr>
                <w:sz w:val="8"/>
                <w:szCs w:val="8"/>
                <w:color w:val="auto"/>
              </w:rPr>
            </w:pPr>
          </w:p>
        </w:tc>
        <w:tc>
          <w:tcPr>
            <w:tcW w:w="128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7"/>
              </w:rPr>
              <w:t>Possible</w:t>
            </w:r>
          </w:p>
        </w:tc>
        <w:tc>
          <w:tcPr>
            <w:tcW w:w="1420" w:type="dxa"/>
            <w:vAlign w:val="bottom"/>
            <w:vMerge w:val="continue"/>
            <w:shd w:val="clear" w:color="auto" w:fill="3C3C3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600" w:type="dxa"/>
            <w:vAlign w:val="bottom"/>
            <w:tcBorders>
              <w:left w:val="single" w:sz="8" w:color="7D7D7D"/>
              <w:right w:val="single" w:sz="8" w:color="3C3C3C"/>
            </w:tcBorders>
            <w:shd w:val="clear" w:color="auto" w:fill="3C3C3C"/>
          </w:tcPr>
          <w:p>
            <w:pPr>
              <w:spacing w:after="0"/>
              <w:rPr>
                <w:sz w:val="9"/>
                <w:szCs w:val="9"/>
                <w:color w:val="auto"/>
              </w:rPr>
            </w:pPr>
          </w:p>
        </w:tc>
        <w:tc>
          <w:tcPr>
            <w:tcW w:w="1200" w:type="dxa"/>
            <w:vAlign w:val="bottom"/>
            <w:tcBorders>
              <w:right w:val="single" w:sz="8" w:color="3C3C3C"/>
            </w:tcBorders>
            <w:shd w:val="clear" w:color="auto" w:fill="3C3C3C"/>
          </w:tcPr>
          <w:p>
            <w:pPr>
              <w:spacing w:after="0"/>
              <w:rPr>
                <w:sz w:val="9"/>
                <w:szCs w:val="9"/>
                <w:color w:val="auto"/>
              </w:rPr>
            </w:pPr>
          </w:p>
        </w:tc>
        <w:tc>
          <w:tcPr>
            <w:tcW w:w="1380" w:type="dxa"/>
            <w:vAlign w:val="bottom"/>
            <w:tcBorders>
              <w:right w:val="single" w:sz="8" w:color="3C3C3C"/>
            </w:tcBorders>
            <w:vMerge w:val="continue"/>
            <w:shd w:val="clear" w:color="auto" w:fill="3C3C3C"/>
          </w:tcPr>
          <w:p>
            <w:pPr>
              <w:spacing w:after="0"/>
              <w:rPr>
                <w:sz w:val="9"/>
                <w:szCs w:val="9"/>
                <w:color w:val="auto"/>
              </w:rPr>
            </w:pPr>
          </w:p>
        </w:tc>
        <w:tc>
          <w:tcPr>
            <w:tcW w:w="1260" w:type="dxa"/>
            <w:vAlign w:val="bottom"/>
            <w:tcBorders>
              <w:right w:val="single" w:sz="8" w:color="3C3C3C"/>
            </w:tcBorders>
            <w:shd w:val="clear" w:color="auto" w:fill="3C3C3C"/>
          </w:tcPr>
          <w:p>
            <w:pPr>
              <w:spacing w:after="0"/>
              <w:rPr>
                <w:sz w:val="9"/>
                <w:szCs w:val="9"/>
                <w:color w:val="auto"/>
              </w:rPr>
            </w:pPr>
          </w:p>
        </w:tc>
        <w:tc>
          <w:tcPr>
            <w:tcW w:w="1400" w:type="dxa"/>
            <w:vAlign w:val="bottom"/>
            <w:tcBorders>
              <w:right w:val="single" w:sz="8" w:color="3C3C3C"/>
            </w:tcBorders>
            <w:shd w:val="clear" w:color="auto" w:fill="3C3C3C"/>
          </w:tcPr>
          <w:p>
            <w:pPr>
              <w:spacing w:after="0"/>
              <w:rPr>
                <w:sz w:val="9"/>
                <w:szCs w:val="9"/>
                <w:color w:val="auto"/>
              </w:rPr>
            </w:pPr>
          </w:p>
        </w:tc>
        <w:tc>
          <w:tcPr>
            <w:tcW w:w="1280" w:type="dxa"/>
            <w:vAlign w:val="bottom"/>
            <w:tcBorders>
              <w:right w:val="single" w:sz="8" w:color="3C3C3C"/>
            </w:tcBorders>
            <w:vMerge w:val="continue"/>
            <w:shd w:val="clear" w:color="auto" w:fill="3C3C3C"/>
          </w:tcPr>
          <w:p>
            <w:pPr>
              <w:spacing w:after="0"/>
              <w:rPr>
                <w:sz w:val="9"/>
                <w:szCs w:val="9"/>
                <w:color w:val="auto"/>
              </w:rPr>
            </w:pPr>
          </w:p>
        </w:tc>
        <w:tc>
          <w:tcPr>
            <w:tcW w:w="1420" w:type="dxa"/>
            <w:vAlign w:val="bottom"/>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600" w:type="dxa"/>
            <w:vAlign w:val="bottom"/>
            <w:tcBorders>
              <w:left w:val="single" w:sz="8" w:color="7D7D7D"/>
              <w:right w:val="single" w:sz="8" w:color="7D7D7D"/>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GM w/out IRA Benefit</w:t>
            </w:r>
          </w:p>
        </w:tc>
        <w:tc>
          <w:tcPr>
            <w:tcW w:w="12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41.0%</w:t>
            </w:r>
          </w:p>
        </w:tc>
        <w:tc>
          <w:tcPr>
            <w:tcW w:w="13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43.0%</w:t>
            </w:r>
          </w:p>
        </w:tc>
        <w:tc>
          <w:tcPr>
            <w:tcW w:w="12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45.0%</w:t>
            </w:r>
          </w:p>
        </w:tc>
        <w:tc>
          <w:tcPr>
            <w:tcW w:w="14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45.3%</w:t>
            </w:r>
          </w:p>
        </w:tc>
        <w:tc>
          <w:tcPr>
            <w:tcW w:w="12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10.0</w:t>
            </w:r>
          </w:p>
        </w:tc>
        <w:tc>
          <w:tcPr>
            <w:tcW w:w="14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4"/>
              </w:rPr>
              <w:t>10.00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00" w:type="dxa"/>
            <w:vAlign w:val="bottom"/>
            <w:tcBorders>
              <w:left w:val="single" w:sz="8" w:color="7D7D7D"/>
              <w:right w:val="single" w:sz="8" w:color="7D7D7D"/>
            </w:tcBorders>
          </w:tcPr>
          <w:p>
            <w:pPr>
              <w:ind w:left="100"/>
              <w:spacing w:after="0"/>
              <w:rPr>
                <w:sz w:val="20"/>
                <w:szCs w:val="20"/>
                <w:color w:val="auto"/>
              </w:rPr>
            </w:pPr>
            <w:r>
              <w:rPr>
                <w:rFonts w:ascii="Arial" w:cs="Arial" w:eastAsia="Arial" w:hAnsi="Arial"/>
                <w:sz w:val="16"/>
                <w:szCs w:val="16"/>
                <w:b w:val="1"/>
                <w:bCs w:val="1"/>
                <w:color w:val="auto"/>
              </w:rPr>
              <w:t>Realized U.S. IRA Benefit (in</w:t>
            </w:r>
          </w:p>
        </w:tc>
        <w:tc>
          <w:tcPr>
            <w:tcW w:w="120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4"/>
              </w:rPr>
              <w:t>$18.0</w:t>
            </w:r>
          </w:p>
        </w:tc>
        <w:tc>
          <w:tcPr>
            <w:tcW w:w="138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9"/>
              </w:rPr>
              <w:t>$50.3</w:t>
            </w:r>
          </w:p>
        </w:tc>
        <w:tc>
          <w:tcPr>
            <w:tcW w:w="126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7"/>
              </w:rPr>
              <w:t>N/A</w:t>
            </w:r>
          </w:p>
        </w:tc>
        <w:tc>
          <w:tcPr>
            <w:tcW w:w="140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4"/>
              </w:rPr>
              <w:t>$41.9</w:t>
            </w:r>
          </w:p>
        </w:tc>
        <w:tc>
          <w:tcPr>
            <w:tcW w:w="128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8"/>
              </w:rPr>
              <w:t>5.0</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6"/>
              </w:rPr>
              <w:t>3.69</w:t>
            </w:r>
          </w:p>
        </w:tc>
        <w:tc>
          <w:tcPr>
            <w:tcW w:w="20" w:type="dxa"/>
            <w:vAlign w:val="bottom"/>
            <w:shd w:val="clear" w:color="auto" w:fill="7D7D7D"/>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600" w:type="dxa"/>
            <w:vAlign w:val="bottom"/>
            <w:tcBorders>
              <w:left w:val="single" w:sz="8" w:color="7D7D7D"/>
              <w:right w:val="single" w:sz="8" w:color="7D7D7D"/>
            </w:tcBorders>
            <w:vMerge w:val="restart"/>
          </w:tcPr>
          <w:p>
            <w:pPr>
              <w:ind w:left="100"/>
              <w:spacing w:after="0"/>
              <w:rPr>
                <w:sz w:val="20"/>
                <w:szCs w:val="20"/>
                <w:color w:val="auto"/>
              </w:rPr>
            </w:pPr>
            <w:r>
              <w:rPr>
                <w:rFonts w:ascii="Arial" w:cs="Arial" w:eastAsia="Arial" w:hAnsi="Arial"/>
                <w:sz w:val="16"/>
                <w:szCs w:val="16"/>
                <w:b w:val="1"/>
                <w:bCs w:val="1"/>
                <w:color w:val="auto"/>
              </w:rPr>
              <w:t>millions)</w:t>
            </w:r>
          </w:p>
        </w:tc>
        <w:tc>
          <w:tcPr>
            <w:tcW w:w="1200" w:type="dxa"/>
            <w:vAlign w:val="bottom"/>
            <w:tcBorders>
              <w:right w:val="single" w:sz="8" w:color="7D7D7D"/>
            </w:tcBorders>
            <w:vMerge w:val="continue"/>
          </w:tcPr>
          <w:p>
            <w:pPr>
              <w:spacing w:after="0"/>
              <w:rPr>
                <w:sz w:val="10"/>
                <w:szCs w:val="10"/>
                <w:color w:val="auto"/>
              </w:rPr>
            </w:pPr>
          </w:p>
        </w:tc>
        <w:tc>
          <w:tcPr>
            <w:tcW w:w="1380" w:type="dxa"/>
            <w:vAlign w:val="bottom"/>
            <w:tcBorders>
              <w:right w:val="single" w:sz="8" w:color="7D7D7D"/>
            </w:tcBorders>
            <w:vMerge w:val="continue"/>
          </w:tcPr>
          <w:p>
            <w:pPr>
              <w:spacing w:after="0"/>
              <w:rPr>
                <w:sz w:val="10"/>
                <w:szCs w:val="10"/>
                <w:color w:val="auto"/>
              </w:rPr>
            </w:pPr>
          </w:p>
        </w:tc>
        <w:tc>
          <w:tcPr>
            <w:tcW w:w="1260" w:type="dxa"/>
            <w:vAlign w:val="bottom"/>
            <w:tcBorders>
              <w:right w:val="single" w:sz="8" w:color="7D7D7D"/>
            </w:tcBorders>
            <w:vMerge w:val="continue"/>
          </w:tcPr>
          <w:p>
            <w:pPr>
              <w:spacing w:after="0"/>
              <w:rPr>
                <w:sz w:val="10"/>
                <w:szCs w:val="10"/>
                <w:color w:val="auto"/>
              </w:rPr>
            </w:pPr>
          </w:p>
        </w:tc>
        <w:tc>
          <w:tcPr>
            <w:tcW w:w="1400" w:type="dxa"/>
            <w:vAlign w:val="bottom"/>
            <w:tcBorders>
              <w:right w:val="single" w:sz="8" w:color="7D7D7D"/>
            </w:tcBorders>
            <w:vMerge w:val="continue"/>
          </w:tcPr>
          <w:p>
            <w:pPr>
              <w:spacing w:after="0"/>
              <w:rPr>
                <w:sz w:val="10"/>
                <w:szCs w:val="10"/>
                <w:color w:val="auto"/>
              </w:rPr>
            </w:pPr>
          </w:p>
        </w:tc>
        <w:tc>
          <w:tcPr>
            <w:tcW w:w="1280" w:type="dxa"/>
            <w:vAlign w:val="bottom"/>
            <w:tcBorders>
              <w:right w:val="single" w:sz="8" w:color="7D7D7D"/>
            </w:tcBorders>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00" w:type="dxa"/>
            <w:vAlign w:val="bottom"/>
            <w:tcBorders>
              <w:left w:val="single" w:sz="8" w:color="7D7D7D"/>
              <w:right w:val="single" w:sz="8" w:color="7D7D7D"/>
            </w:tcBorders>
            <w:vMerge w:val="continue"/>
          </w:tcPr>
          <w:p>
            <w:pPr>
              <w:spacing w:after="0"/>
              <w:rPr>
                <w:sz w:val="8"/>
                <w:szCs w:val="8"/>
                <w:color w:val="auto"/>
              </w:rPr>
            </w:pPr>
          </w:p>
        </w:tc>
        <w:tc>
          <w:tcPr>
            <w:tcW w:w="1200" w:type="dxa"/>
            <w:vAlign w:val="bottom"/>
            <w:tcBorders>
              <w:right w:val="single" w:sz="8" w:color="7D7D7D"/>
            </w:tcBorders>
          </w:tcPr>
          <w:p>
            <w:pPr>
              <w:spacing w:after="0"/>
              <w:rPr>
                <w:sz w:val="8"/>
                <w:szCs w:val="8"/>
                <w:color w:val="auto"/>
              </w:rPr>
            </w:pPr>
          </w:p>
        </w:tc>
        <w:tc>
          <w:tcPr>
            <w:tcW w:w="1380" w:type="dxa"/>
            <w:vAlign w:val="bottom"/>
            <w:tcBorders>
              <w:right w:val="single" w:sz="8" w:color="7D7D7D"/>
            </w:tcBorders>
          </w:tcPr>
          <w:p>
            <w:pPr>
              <w:spacing w:after="0"/>
              <w:rPr>
                <w:sz w:val="8"/>
                <w:szCs w:val="8"/>
                <w:color w:val="auto"/>
              </w:rPr>
            </w:pPr>
          </w:p>
        </w:tc>
        <w:tc>
          <w:tcPr>
            <w:tcW w:w="1260" w:type="dxa"/>
            <w:vAlign w:val="bottom"/>
            <w:tcBorders>
              <w:right w:val="single" w:sz="8" w:color="7D7D7D"/>
            </w:tcBorders>
          </w:tcPr>
          <w:p>
            <w:pPr>
              <w:spacing w:after="0"/>
              <w:rPr>
                <w:sz w:val="8"/>
                <w:szCs w:val="8"/>
                <w:color w:val="auto"/>
              </w:rPr>
            </w:pPr>
          </w:p>
        </w:tc>
        <w:tc>
          <w:tcPr>
            <w:tcW w:w="1400" w:type="dxa"/>
            <w:vAlign w:val="bottom"/>
            <w:tcBorders>
              <w:right w:val="single" w:sz="8" w:color="7D7D7D"/>
            </w:tcBorders>
          </w:tcPr>
          <w:p>
            <w:pPr>
              <w:spacing w:after="0"/>
              <w:rPr>
                <w:sz w:val="8"/>
                <w:szCs w:val="8"/>
                <w:color w:val="auto"/>
              </w:rPr>
            </w:pPr>
          </w:p>
        </w:tc>
        <w:tc>
          <w:tcPr>
            <w:tcW w:w="1280" w:type="dxa"/>
            <w:vAlign w:val="bottom"/>
            <w:tcBorders>
              <w:right w:val="single" w:sz="8" w:color="7D7D7D"/>
            </w:tcBorders>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shd w:val="clear" w:color="auto" w:fill="7D7D7D"/>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00" w:type="dxa"/>
            <w:vAlign w:val="bottom"/>
            <w:tcBorders>
              <w:left w:val="single" w:sz="8" w:color="7D7D7D"/>
              <w:right w:val="single" w:sz="8" w:color="7D7D7D"/>
            </w:tcBorders>
          </w:tcPr>
          <w:p>
            <w:pPr>
              <w:spacing w:after="0" w:line="20" w:lineRule="exact"/>
              <w:rPr>
                <w:sz w:val="1"/>
                <w:szCs w:val="1"/>
                <w:color w:val="auto"/>
              </w:rPr>
            </w:pPr>
          </w:p>
        </w:tc>
        <w:tc>
          <w:tcPr>
            <w:tcW w:w="1200" w:type="dxa"/>
            <w:vAlign w:val="bottom"/>
            <w:tcBorders>
              <w:right w:val="single" w:sz="8" w:color="7D7D7D"/>
            </w:tcBorders>
          </w:tcPr>
          <w:p>
            <w:pPr>
              <w:spacing w:after="0" w:line="20" w:lineRule="exact"/>
              <w:rPr>
                <w:sz w:val="1"/>
                <w:szCs w:val="1"/>
                <w:color w:val="auto"/>
              </w:rPr>
            </w:pPr>
          </w:p>
        </w:tc>
        <w:tc>
          <w:tcPr>
            <w:tcW w:w="1380" w:type="dxa"/>
            <w:vAlign w:val="bottom"/>
            <w:tcBorders>
              <w:right w:val="single" w:sz="8" w:color="7D7D7D"/>
            </w:tcBorders>
          </w:tcPr>
          <w:p>
            <w:pPr>
              <w:spacing w:after="0" w:line="20" w:lineRule="exact"/>
              <w:rPr>
                <w:sz w:val="1"/>
                <w:szCs w:val="1"/>
                <w:color w:val="auto"/>
              </w:rPr>
            </w:pPr>
          </w:p>
        </w:tc>
        <w:tc>
          <w:tcPr>
            <w:tcW w:w="1260" w:type="dxa"/>
            <w:vAlign w:val="bottom"/>
            <w:tcBorders>
              <w:right w:val="single" w:sz="8" w:color="7D7D7D"/>
            </w:tcBorders>
          </w:tcPr>
          <w:p>
            <w:pPr>
              <w:spacing w:after="0" w:line="20" w:lineRule="exact"/>
              <w:rPr>
                <w:sz w:val="1"/>
                <w:szCs w:val="1"/>
                <w:color w:val="auto"/>
              </w:rPr>
            </w:pPr>
          </w:p>
        </w:tc>
        <w:tc>
          <w:tcPr>
            <w:tcW w:w="1400" w:type="dxa"/>
            <w:vAlign w:val="bottom"/>
            <w:tcBorders>
              <w:right w:val="single" w:sz="8" w:color="7D7D7D"/>
            </w:tcBorders>
          </w:tcPr>
          <w:p>
            <w:pPr>
              <w:spacing w:after="0" w:line="20" w:lineRule="exact"/>
              <w:rPr>
                <w:sz w:val="1"/>
                <w:szCs w:val="1"/>
                <w:color w:val="auto"/>
              </w:rPr>
            </w:pPr>
          </w:p>
        </w:tc>
        <w:tc>
          <w:tcPr>
            <w:tcW w:w="1280" w:type="dxa"/>
            <w:vAlign w:val="bottom"/>
            <w:tcBorders>
              <w:right w:val="single" w:sz="8" w:color="7D7D7D"/>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shd w:val="clear" w:color="auto" w:fill="7D7D7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600" w:type="dxa"/>
            <w:vAlign w:val="bottom"/>
            <w:tcBorders>
              <w:left w:val="single" w:sz="8" w:color="7D7D7D"/>
              <w:right w:val="single" w:sz="8" w:color="7D7D7D"/>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Non-GAAP OPEX</w:t>
            </w:r>
          </w:p>
        </w:tc>
        <w:tc>
          <w:tcPr>
            <w:tcW w:w="12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15.0%</w:t>
            </w:r>
          </w:p>
        </w:tc>
        <w:tc>
          <w:tcPr>
            <w:tcW w:w="13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14.0%</w:t>
            </w:r>
          </w:p>
        </w:tc>
        <w:tc>
          <w:tcPr>
            <w:tcW w:w="12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7"/>
              </w:rPr>
              <w:t>N/A</w:t>
            </w:r>
          </w:p>
        </w:tc>
        <w:tc>
          <w:tcPr>
            <w:tcW w:w="14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16.7%</w:t>
            </w:r>
          </w:p>
        </w:tc>
        <w:tc>
          <w:tcPr>
            <w:tcW w:w="12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1.0</w:t>
            </w:r>
          </w:p>
        </w:tc>
        <w:tc>
          <w:tcPr>
            <w:tcW w:w="14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00" w:type="dxa"/>
            <w:vAlign w:val="bottom"/>
            <w:tcBorders>
              <w:left w:val="single" w:sz="8" w:color="7D7D7D"/>
              <w:right w:val="single" w:sz="8" w:color="7D7D7D"/>
            </w:tcBorders>
          </w:tcPr>
          <w:p>
            <w:pPr>
              <w:ind w:left="100"/>
              <w:spacing w:after="0"/>
              <w:rPr>
                <w:sz w:val="20"/>
                <w:szCs w:val="20"/>
                <w:color w:val="auto"/>
              </w:rPr>
            </w:pPr>
            <w:r>
              <w:rPr>
                <w:rFonts w:ascii="Arial" w:cs="Arial" w:eastAsia="Arial" w:hAnsi="Arial"/>
                <w:sz w:val="16"/>
                <w:szCs w:val="16"/>
                <w:b w:val="1"/>
                <w:bCs w:val="1"/>
                <w:color w:val="auto"/>
              </w:rPr>
              <w:t>Non-GAAP PBT (in millions)</w:t>
            </w:r>
          </w:p>
        </w:tc>
        <w:tc>
          <w:tcPr>
            <w:tcW w:w="12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$702.3</w:t>
            </w:r>
          </w:p>
        </w:tc>
        <w:tc>
          <w:tcPr>
            <w:tcW w:w="138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$917.1</w:t>
            </w:r>
          </w:p>
        </w:tc>
        <w:tc>
          <w:tcPr>
            <w:tcW w:w="12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7"/>
              </w:rPr>
              <w:t>N/A</w:t>
            </w:r>
          </w:p>
        </w:tc>
        <w:tc>
          <w:tcPr>
            <w:tcW w:w="140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$777.3</w:t>
            </w:r>
          </w:p>
        </w:tc>
        <w:tc>
          <w:tcPr>
            <w:tcW w:w="128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8"/>
              </w:rPr>
              <w:t>1.0</w:t>
            </w:r>
          </w:p>
        </w:tc>
        <w:tc>
          <w:tcPr>
            <w:tcW w:w="1420" w:type="dxa"/>
            <w:vAlign w:val="bottom"/>
          </w:tcPr>
          <w:p>
            <w:pPr>
              <w:jc w:val="center"/>
              <w:spacing w:after="0"/>
              <w:rPr>
                <w:sz w:val="20"/>
                <w:szCs w:val="20"/>
                <w:color w:val="auto"/>
              </w:rPr>
            </w:pPr>
            <w:r>
              <w:rPr>
                <w:rFonts w:ascii="Arial" w:cs="Arial" w:eastAsia="Arial" w:hAnsi="Arial"/>
                <w:sz w:val="16"/>
                <w:szCs w:val="16"/>
                <w:color w:val="auto"/>
                <w:w w:val="96"/>
              </w:rPr>
              <w:t>0.33</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600" w:type="dxa"/>
            <w:vAlign w:val="bottom"/>
            <w:tcBorders>
              <w:left w:val="single" w:sz="8" w:color="7D7D7D"/>
              <w:right w:val="single" w:sz="8" w:color="7D7D7D"/>
            </w:tcBorders>
            <w:shd w:val="clear" w:color="auto" w:fill="FAF6EF"/>
          </w:tcPr>
          <w:p>
            <w:pPr>
              <w:ind w:left="100"/>
              <w:spacing w:after="0"/>
              <w:rPr>
                <w:sz w:val="20"/>
                <w:szCs w:val="20"/>
                <w:color w:val="auto"/>
              </w:rPr>
            </w:pPr>
            <w:r>
              <w:rPr>
                <w:rFonts w:ascii="Arial" w:cs="Arial" w:eastAsia="Arial" w:hAnsi="Arial"/>
                <w:sz w:val="16"/>
                <w:szCs w:val="16"/>
                <w:b w:val="1"/>
                <w:bCs w:val="1"/>
                <w:color w:val="auto"/>
              </w:rPr>
              <w:t>Non-GAAP EPS</w:t>
            </w:r>
          </w:p>
        </w:tc>
        <w:tc>
          <w:tcPr>
            <w:tcW w:w="12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$4.01</w:t>
            </w:r>
          </w:p>
        </w:tc>
        <w:tc>
          <w:tcPr>
            <w:tcW w:w="13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$5.01</w:t>
            </w:r>
          </w:p>
        </w:tc>
        <w:tc>
          <w:tcPr>
            <w:tcW w:w="12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7"/>
              </w:rPr>
              <w:t>N/A</w:t>
            </w:r>
          </w:p>
        </w:tc>
        <w:tc>
          <w:tcPr>
            <w:tcW w:w="14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4"/>
              </w:rPr>
              <w:t>$4.41</w:t>
            </w:r>
          </w:p>
        </w:tc>
        <w:tc>
          <w:tcPr>
            <w:tcW w:w="12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1.0</w:t>
            </w:r>
          </w:p>
        </w:tc>
        <w:tc>
          <w:tcPr>
            <w:tcW w:w="14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6"/>
              </w:rPr>
              <w:t>0.40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00" w:type="dxa"/>
            <w:vAlign w:val="bottom"/>
            <w:tcBorders>
              <w:left w:val="single" w:sz="8" w:color="7D7D7D"/>
              <w:right w:val="single" w:sz="8" w:color="7D7D7D"/>
            </w:tcBorders>
          </w:tcPr>
          <w:p>
            <w:pPr>
              <w:ind w:left="100"/>
              <w:spacing w:after="0"/>
              <w:rPr>
                <w:sz w:val="20"/>
                <w:szCs w:val="20"/>
                <w:color w:val="auto"/>
              </w:rPr>
            </w:pPr>
            <w:r>
              <w:rPr>
                <w:rFonts w:ascii="Arial" w:cs="Arial" w:eastAsia="Arial" w:hAnsi="Arial"/>
                <w:sz w:val="16"/>
                <w:szCs w:val="16"/>
                <w:b w:val="1"/>
                <w:bCs w:val="1"/>
                <w:color w:val="auto"/>
              </w:rPr>
              <w:t>Adjusted Free Cash Flow (in</w:t>
            </w:r>
          </w:p>
        </w:tc>
        <w:tc>
          <w:tcPr>
            <w:tcW w:w="120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8"/>
              </w:rPr>
              <w:t>$574.4</w:t>
            </w:r>
          </w:p>
        </w:tc>
        <w:tc>
          <w:tcPr>
            <w:tcW w:w="138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8"/>
              </w:rPr>
              <w:t>$718.0</w:t>
            </w:r>
          </w:p>
        </w:tc>
        <w:tc>
          <w:tcPr>
            <w:tcW w:w="126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7"/>
              </w:rPr>
              <w:t>N/A</w:t>
            </w:r>
          </w:p>
        </w:tc>
        <w:tc>
          <w:tcPr>
            <w:tcW w:w="140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8"/>
              </w:rPr>
              <w:t>$586.4</w:t>
            </w:r>
          </w:p>
        </w:tc>
        <w:tc>
          <w:tcPr>
            <w:tcW w:w="1280" w:type="dxa"/>
            <w:vAlign w:val="bottom"/>
            <w:tcBorders>
              <w:right w:val="single" w:sz="8" w:color="7D7D7D"/>
            </w:tcBorders>
            <w:vMerge w:val="restart"/>
          </w:tcPr>
          <w:p>
            <w:pPr>
              <w:jc w:val="center"/>
              <w:spacing w:after="0"/>
              <w:rPr>
                <w:sz w:val="20"/>
                <w:szCs w:val="20"/>
                <w:color w:val="auto"/>
              </w:rPr>
            </w:pPr>
            <w:r>
              <w:rPr>
                <w:rFonts w:ascii="Arial" w:cs="Arial" w:eastAsia="Arial" w:hAnsi="Arial"/>
                <w:sz w:val="16"/>
                <w:szCs w:val="16"/>
                <w:color w:val="auto"/>
                <w:w w:val="98"/>
              </w:rPr>
              <w:t>1.0</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6"/>
              </w:rPr>
              <w:t>0.09</w:t>
            </w:r>
          </w:p>
        </w:tc>
        <w:tc>
          <w:tcPr>
            <w:tcW w:w="20" w:type="dxa"/>
            <w:vAlign w:val="bottom"/>
            <w:shd w:val="clear" w:color="auto" w:fill="7D7D7D"/>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600" w:type="dxa"/>
            <w:vAlign w:val="bottom"/>
            <w:tcBorders>
              <w:left w:val="single" w:sz="8" w:color="7D7D7D"/>
              <w:right w:val="single" w:sz="8" w:color="7D7D7D"/>
            </w:tcBorders>
            <w:vMerge w:val="restart"/>
          </w:tcPr>
          <w:p>
            <w:pPr>
              <w:ind w:left="100"/>
              <w:spacing w:after="0"/>
              <w:rPr>
                <w:sz w:val="20"/>
                <w:szCs w:val="20"/>
                <w:color w:val="auto"/>
              </w:rPr>
            </w:pPr>
            <w:r>
              <w:rPr>
                <w:rFonts w:ascii="Arial" w:cs="Arial" w:eastAsia="Arial" w:hAnsi="Arial"/>
                <w:sz w:val="16"/>
                <w:szCs w:val="16"/>
                <w:b w:val="1"/>
                <w:bCs w:val="1"/>
                <w:color w:val="auto"/>
              </w:rPr>
              <w:t>millions)</w:t>
            </w:r>
          </w:p>
        </w:tc>
        <w:tc>
          <w:tcPr>
            <w:tcW w:w="1200" w:type="dxa"/>
            <w:vAlign w:val="bottom"/>
            <w:tcBorders>
              <w:right w:val="single" w:sz="8" w:color="7D7D7D"/>
            </w:tcBorders>
            <w:vMerge w:val="continue"/>
          </w:tcPr>
          <w:p>
            <w:pPr>
              <w:spacing w:after="0"/>
              <w:rPr>
                <w:sz w:val="10"/>
                <w:szCs w:val="10"/>
                <w:color w:val="auto"/>
              </w:rPr>
            </w:pPr>
          </w:p>
        </w:tc>
        <w:tc>
          <w:tcPr>
            <w:tcW w:w="1380" w:type="dxa"/>
            <w:vAlign w:val="bottom"/>
            <w:tcBorders>
              <w:right w:val="single" w:sz="8" w:color="7D7D7D"/>
            </w:tcBorders>
            <w:vMerge w:val="continue"/>
          </w:tcPr>
          <w:p>
            <w:pPr>
              <w:spacing w:after="0"/>
              <w:rPr>
                <w:sz w:val="10"/>
                <w:szCs w:val="10"/>
                <w:color w:val="auto"/>
              </w:rPr>
            </w:pPr>
          </w:p>
        </w:tc>
        <w:tc>
          <w:tcPr>
            <w:tcW w:w="1260" w:type="dxa"/>
            <w:vAlign w:val="bottom"/>
            <w:tcBorders>
              <w:right w:val="single" w:sz="8" w:color="7D7D7D"/>
            </w:tcBorders>
            <w:vMerge w:val="continue"/>
          </w:tcPr>
          <w:p>
            <w:pPr>
              <w:spacing w:after="0"/>
              <w:rPr>
                <w:sz w:val="10"/>
                <w:szCs w:val="10"/>
                <w:color w:val="auto"/>
              </w:rPr>
            </w:pPr>
          </w:p>
        </w:tc>
        <w:tc>
          <w:tcPr>
            <w:tcW w:w="1400" w:type="dxa"/>
            <w:vAlign w:val="bottom"/>
            <w:tcBorders>
              <w:right w:val="single" w:sz="8" w:color="7D7D7D"/>
            </w:tcBorders>
            <w:vMerge w:val="continue"/>
          </w:tcPr>
          <w:p>
            <w:pPr>
              <w:spacing w:after="0"/>
              <w:rPr>
                <w:sz w:val="10"/>
                <w:szCs w:val="10"/>
                <w:color w:val="auto"/>
              </w:rPr>
            </w:pPr>
          </w:p>
        </w:tc>
        <w:tc>
          <w:tcPr>
            <w:tcW w:w="1280" w:type="dxa"/>
            <w:vAlign w:val="bottom"/>
            <w:tcBorders>
              <w:right w:val="single" w:sz="8" w:color="7D7D7D"/>
            </w:tcBorders>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00" w:type="dxa"/>
            <w:vAlign w:val="bottom"/>
            <w:tcBorders>
              <w:left w:val="single" w:sz="8" w:color="7D7D7D"/>
              <w:right w:val="single" w:sz="8" w:color="7D7D7D"/>
            </w:tcBorders>
            <w:vMerge w:val="continue"/>
          </w:tcPr>
          <w:p>
            <w:pPr>
              <w:spacing w:after="0"/>
              <w:rPr>
                <w:sz w:val="8"/>
                <w:szCs w:val="8"/>
                <w:color w:val="auto"/>
              </w:rPr>
            </w:pPr>
          </w:p>
        </w:tc>
        <w:tc>
          <w:tcPr>
            <w:tcW w:w="1200" w:type="dxa"/>
            <w:vAlign w:val="bottom"/>
            <w:tcBorders>
              <w:right w:val="single" w:sz="8" w:color="7D7D7D"/>
            </w:tcBorders>
          </w:tcPr>
          <w:p>
            <w:pPr>
              <w:spacing w:after="0"/>
              <w:rPr>
                <w:sz w:val="8"/>
                <w:szCs w:val="8"/>
                <w:color w:val="auto"/>
              </w:rPr>
            </w:pPr>
          </w:p>
        </w:tc>
        <w:tc>
          <w:tcPr>
            <w:tcW w:w="1380" w:type="dxa"/>
            <w:vAlign w:val="bottom"/>
            <w:tcBorders>
              <w:right w:val="single" w:sz="8" w:color="7D7D7D"/>
            </w:tcBorders>
          </w:tcPr>
          <w:p>
            <w:pPr>
              <w:spacing w:after="0"/>
              <w:rPr>
                <w:sz w:val="8"/>
                <w:szCs w:val="8"/>
                <w:color w:val="auto"/>
              </w:rPr>
            </w:pPr>
          </w:p>
        </w:tc>
        <w:tc>
          <w:tcPr>
            <w:tcW w:w="1260" w:type="dxa"/>
            <w:vAlign w:val="bottom"/>
            <w:tcBorders>
              <w:right w:val="single" w:sz="8" w:color="7D7D7D"/>
            </w:tcBorders>
          </w:tcPr>
          <w:p>
            <w:pPr>
              <w:spacing w:after="0"/>
              <w:rPr>
                <w:sz w:val="8"/>
                <w:szCs w:val="8"/>
                <w:color w:val="auto"/>
              </w:rPr>
            </w:pPr>
          </w:p>
        </w:tc>
        <w:tc>
          <w:tcPr>
            <w:tcW w:w="1400" w:type="dxa"/>
            <w:vAlign w:val="bottom"/>
            <w:tcBorders>
              <w:right w:val="single" w:sz="8" w:color="7D7D7D"/>
            </w:tcBorders>
          </w:tcPr>
          <w:p>
            <w:pPr>
              <w:spacing w:after="0"/>
              <w:rPr>
                <w:sz w:val="8"/>
                <w:szCs w:val="8"/>
                <w:color w:val="auto"/>
              </w:rPr>
            </w:pPr>
          </w:p>
        </w:tc>
        <w:tc>
          <w:tcPr>
            <w:tcW w:w="1280" w:type="dxa"/>
            <w:vAlign w:val="bottom"/>
            <w:tcBorders>
              <w:right w:val="single" w:sz="8" w:color="7D7D7D"/>
            </w:tcBorders>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shd w:val="clear" w:color="auto" w:fill="7D7D7D"/>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00" w:type="dxa"/>
            <w:vAlign w:val="bottom"/>
            <w:tcBorders>
              <w:left w:val="single" w:sz="8" w:color="7D7D7D"/>
              <w:right w:val="single" w:sz="8" w:color="7D7D7D"/>
            </w:tcBorders>
          </w:tcPr>
          <w:p>
            <w:pPr>
              <w:spacing w:after="0" w:line="20" w:lineRule="exact"/>
              <w:rPr>
                <w:sz w:val="1"/>
                <w:szCs w:val="1"/>
                <w:color w:val="auto"/>
              </w:rPr>
            </w:pPr>
          </w:p>
        </w:tc>
        <w:tc>
          <w:tcPr>
            <w:tcW w:w="1200" w:type="dxa"/>
            <w:vAlign w:val="bottom"/>
            <w:tcBorders>
              <w:right w:val="single" w:sz="8" w:color="7D7D7D"/>
            </w:tcBorders>
          </w:tcPr>
          <w:p>
            <w:pPr>
              <w:spacing w:after="0" w:line="20" w:lineRule="exact"/>
              <w:rPr>
                <w:sz w:val="1"/>
                <w:szCs w:val="1"/>
                <w:color w:val="auto"/>
              </w:rPr>
            </w:pPr>
          </w:p>
        </w:tc>
        <w:tc>
          <w:tcPr>
            <w:tcW w:w="1380" w:type="dxa"/>
            <w:vAlign w:val="bottom"/>
            <w:tcBorders>
              <w:right w:val="single" w:sz="8" w:color="7D7D7D"/>
            </w:tcBorders>
          </w:tcPr>
          <w:p>
            <w:pPr>
              <w:spacing w:after="0" w:line="20" w:lineRule="exact"/>
              <w:rPr>
                <w:sz w:val="1"/>
                <w:szCs w:val="1"/>
                <w:color w:val="auto"/>
              </w:rPr>
            </w:pPr>
          </w:p>
        </w:tc>
        <w:tc>
          <w:tcPr>
            <w:tcW w:w="1260" w:type="dxa"/>
            <w:vAlign w:val="bottom"/>
            <w:tcBorders>
              <w:right w:val="single" w:sz="8" w:color="7D7D7D"/>
            </w:tcBorders>
          </w:tcPr>
          <w:p>
            <w:pPr>
              <w:spacing w:after="0" w:line="20" w:lineRule="exact"/>
              <w:rPr>
                <w:sz w:val="1"/>
                <w:szCs w:val="1"/>
                <w:color w:val="auto"/>
              </w:rPr>
            </w:pPr>
          </w:p>
        </w:tc>
        <w:tc>
          <w:tcPr>
            <w:tcW w:w="1400" w:type="dxa"/>
            <w:vAlign w:val="bottom"/>
            <w:tcBorders>
              <w:right w:val="single" w:sz="8" w:color="7D7D7D"/>
            </w:tcBorders>
          </w:tcPr>
          <w:p>
            <w:pPr>
              <w:spacing w:after="0" w:line="20" w:lineRule="exact"/>
              <w:rPr>
                <w:sz w:val="1"/>
                <w:szCs w:val="1"/>
                <w:color w:val="auto"/>
              </w:rPr>
            </w:pPr>
          </w:p>
        </w:tc>
        <w:tc>
          <w:tcPr>
            <w:tcW w:w="1280" w:type="dxa"/>
            <w:vAlign w:val="bottom"/>
            <w:tcBorders>
              <w:right w:val="single" w:sz="8" w:color="7D7D7D"/>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shd w:val="clear" w:color="auto" w:fill="7D7D7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600" w:type="dxa"/>
            <w:vAlign w:val="bottom"/>
            <w:tcBorders>
              <w:left w:val="single" w:sz="8" w:color="7D7D7D"/>
              <w:right w:val="single" w:sz="8" w:color="7D7D7D"/>
            </w:tcBorders>
            <w:shd w:val="clear" w:color="auto" w:fill="FAF6EF"/>
          </w:tcPr>
          <w:p>
            <w:pPr>
              <w:spacing w:after="0"/>
              <w:rPr>
                <w:sz w:val="20"/>
                <w:szCs w:val="20"/>
                <w:color w:val="auto"/>
              </w:rPr>
            </w:pPr>
          </w:p>
        </w:tc>
        <w:tc>
          <w:tcPr>
            <w:tcW w:w="1200" w:type="dxa"/>
            <w:vAlign w:val="bottom"/>
            <w:tcBorders>
              <w:right w:val="single" w:sz="8" w:color="7D7D7D"/>
            </w:tcBorders>
            <w:shd w:val="clear" w:color="auto" w:fill="FAF6EF"/>
          </w:tcPr>
          <w:p>
            <w:pPr>
              <w:spacing w:after="0"/>
              <w:rPr>
                <w:sz w:val="20"/>
                <w:szCs w:val="20"/>
                <w:color w:val="auto"/>
              </w:rPr>
            </w:pPr>
          </w:p>
        </w:tc>
        <w:tc>
          <w:tcPr>
            <w:tcW w:w="1380" w:type="dxa"/>
            <w:vAlign w:val="bottom"/>
            <w:tcBorders>
              <w:right w:val="single" w:sz="8" w:color="7D7D7D"/>
            </w:tcBorders>
            <w:shd w:val="clear" w:color="auto" w:fill="FAF6EF"/>
          </w:tcPr>
          <w:p>
            <w:pPr>
              <w:spacing w:after="0"/>
              <w:rPr>
                <w:sz w:val="20"/>
                <w:szCs w:val="20"/>
                <w:color w:val="auto"/>
              </w:rPr>
            </w:pPr>
          </w:p>
        </w:tc>
        <w:tc>
          <w:tcPr>
            <w:tcW w:w="1260" w:type="dxa"/>
            <w:vAlign w:val="bottom"/>
            <w:tcBorders>
              <w:right w:val="single" w:sz="8" w:color="7D7D7D"/>
            </w:tcBorders>
            <w:shd w:val="clear" w:color="auto" w:fill="FAF6EF"/>
          </w:tcPr>
          <w:p>
            <w:pPr>
              <w:spacing w:after="0"/>
              <w:rPr>
                <w:sz w:val="20"/>
                <w:szCs w:val="20"/>
                <w:color w:val="auto"/>
              </w:rPr>
            </w:pPr>
          </w:p>
        </w:tc>
        <w:tc>
          <w:tcPr>
            <w:tcW w:w="1400" w:type="dxa"/>
            <w:vAlign w:val="bottom"/>
            <w:tcBorders>
              <w:right w:val="single" w:sz="8" w:color="7D7D7D"/>
            </w:tcBorders>
            <w:shd w:val="clear" w:color="auto" w:fill="FAF6EF"/>
          </w:tcPr>
          <w:p>
            <w:pPr>
              <w:spacing w:after="0"/>
              <w:rPr>
                <w:sz w:val="20"/>
                <w:szCs w:val="20"/>
                <w:color w:val="auto"/>
              </w:rPr>
            </w:pPr>
          </w:p>
        </w:tc>
        <w:tc>
          <w:tcPr>
            <w:tcW w:w="12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6"/>
              </w:rPr>
              <w:t>19.0</w:t>
            </w:r>
          </w:p>
        </w:tc>
        <w:tc>
          <w:tcPr>
            <w:tcW w:w="1420" w:type="dxa"/>
            <w:vAlign w:val="bottom"/>
            <w:shd w:val="clear" w:color="auto" w:fill="FAF6EF"/>
          </w:tcPr>
          <w:p>
            <w:pPr>
              <w:jc w:val="center"/>
              <w:spacing w:after="0"/>
              <w:rPr>
                <w:sz w:val="20"/>
                <w:szCs w:val="20"/>
                <w:color w:val="auto"/>
              </w:rPr>
            </w:pPr>
            <w:r>
              <w:rPr>
                <w:rFonts w:ascii="Arial" w:cs="Arial" w:eastAsia="Arial" w:hAnsi="Arial"/>
                <w:sz w:val="16"/>
                <w:szCs w:val="16"/>
                <w:b w:val="1"/>
                <w:bCs w:val="1"/>
                <w:color w:val="auto"/>
                <w:w w:val="94"/>
              </w:rPr>
              <w:t>14.51</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left="160" w:hanging="159"/>
        <w:spacing w:after="0" w:line="294" w:lineRule="auto"/>
        <w:tabs>
          <w:tab w:leader="none" w:pos="137" w:val="left"/>
        </w:tabs>
        <w:numPr>
          <w:ilvl w:val="0"/>
          <w:numId w:val="41"/>
        </w:numPr>
        <w:rPr>
          <w:rFonts w:ascii="Arial" w:cs="Arial" w:eastAsia="Arial" w:hAnsi="Arial"/>
          <w:sz w:val="12"/>
          <w:szCs w:val="12"/>
          <w:color w:val="auto"/>
        </w:rPr>
      </w:pPr>
      <w:r>
        <w:rPr>
          <w:rFonts w:ascii="Arial" w:cs="Arial" w:eastAsia="Arial" w:hAnsi="Arial"/>
          <w:sz w:val="16"/>
          <w:szCs w:val="16"/>
          <w:b w:val="1"/>
          <w:bCs w:val="1"/>
          <w:color w:val="auto"/>
        </w:rPr>
        <w:t>New Products</w:t>
      </w:r>
      <w:r>
        <w:rPr>
          <w:rFonts w:ascii="Arial" w:cs="Arial" w:eastAsia="Arial" w:hAnsi="Arial"/>
          <w:sz w:val="16"/>
          <w:szCs w:val="16"/>
          <w:color w:val="auto"/>
        </w:rPr>
        <w:t>. The New Products category had 16 goals for a possible total of 20 points for the introduction of certain new products or product versions, with</w:t>
      </w:r>
      <w:r>
        <w:rPr>
          <w:rFonts w:ascii="Arial" w:cs="Arial" w:eastAsia="Arial" w:hAnsi="Arial"/>
          <w:sz w:val="16"/>
          <w:szCs w:val="16"/>
          <w:b w:val="1"/>
          <w:bCs w:val="1"/>
          <w:color w:val="auto"/>
        </w:rPr>
        <w:t xml:space="preserve"> </w:t>
      </w:r>
      <w:r>
        <w:rPr>
          <w:rFonts w:ascii="Arial" w:cs="Arial" w:eastAsia="Arial" w:hAnsi="Arial"/>
          <w:sz w:val="16"/>
          <w:szCs w:val="16"/>
          <w:color w:val="auto"/>
        </w:rPr>
        <w:t>targets based upon specific milestones. We scored 14.82 out of 20 for improving commissioning times of Ensemble and timely introduction of most new products, but not for all new product introductions. As previously mentioned, the targets that were set in January 2023 could not be and were not revised, even where the failure to meet the goal was due to reprioritization or change in our strategy.</w:t>
      </w:r>
    </w:p>
    <w:p>
      <w:pPr>
        <w:spacing w:after="0" w:line="130" w:lineRule="exact"/>
        <w:rPr>
          <w:rFonts w:ascii="Arial" w:cs="Arial" w:eastAsia="Arial" w:hAnsi="Arial"/>
          <w:sz w:val="12"/>
          <w:szCs w:val="12"/>
          <w:color w:val="auto"/>
        </w:rPr>
      </w:pPr>
    </w:p>
    <w:p>
      <w:pPr>
        <w:ind w:left="160" w:hanging="159"/>
        <w:spacing w:after="0" w:line="321" w:lineRule="auto"/>
        <w:tabs>
          <w:tab w:leader="none" w:pos="137" w:val="left"/>
        </w:tabs>
        <w:numPr>
          <w:ilvl w:val="0"/>
          <w:numId w:val="41"/>
        </w:numPr>
        <w:rPr>
          <w:rFonts w:ascii="Arial" w:cs="Arial" w:eastAsia="Arial" w:hAnsi="Arial"/>
          <w:sz w:val="12"/>
          <w:szCs w:val="12"/>
          <w:color w:val="auto"/>
        </w:rPr>
      </w:pPr>
      <w:r>
        <w:rPr>
          <w:rFonts w:ascii="Arial" w:cs="Arial" w:eastAsia="Arial" w:hAnsi="Arial"/>
          <w:sz w:val="16"/>
          <w:szCs w:val="16"/>
          <w:b w:val="1"/>
          <w:bCs w:val="1"/>
          <w:color w:val="auto"/>
        </w:rPr>
        <w:t>Innovation</w:t>
      </w:r>
      <w:r>
        <w:rPr>
          <w:rFonts w:ascii="Arial" w:cs="Arial" w:eastAsia="Arial" w:hAnsi="Arial"/>
          <w:sz w:val="16"/>
          <w:szCs w:val="16"/>
          <w:color w:val="auto"/>
        </w:rPr>
        <w:t>. The Innovation category had three goals for a possible total of three points that were primarily binary for development on new technologies and</w:t>
      </w:r>
      <w:r>
        <w:rPr>
          <w:rFonts w:ascii="Arial" w:cs="Arial" w:eastAsia="Arial" w:hAnsi="Arial"/>
          <w:sz w:val="16"/>
          <w:szCs w:val="16"/>
          <w:b w:val="1"/>
          <w:bCs w:val="1"/>
          <w:color w:val="auto"/>
        </w:rPr>
        <w:t xml:space="preserve"> </w:t>
      </w:r>
      <w:r>
        <w:rPr>
          <w:rFonts w:ascii="Arial" w:cs="Arial" w:eastAsia="Arial" w:hAnsi="Arial"/>
          <w:sz w:val="16"/>
          <w:szCs w:val="16"/>
          <w:color w:val="auto"/>
        </w:rPr>
        <w:t>future products. We scored two out of three points for completing development on the ASIC and developing a new storage architecture.</w:t>
      </w:r>
    </w:p>
    <w:p>
      <w:pPr>
        <w:spacing w:after="0" w:line="95" w:lineRule="exact"/>
        <w:rPr>
          <w:rFonts w:ascii="Arial" w:cs="Arial" w:eastAsia="Arial" w:hAnsi="Arial"/>
          <w:sz w:val="12"/>
          <w:szCs w:val="12"/>
          <w:color w:val="auto"/>
        </w:rPr>
      </w:pPr>
    </w:p>
    <w:p>
      <w:pPr>
        <w:jc w:val="both"/>
        <w:ind w:left="160" w:hanging="159"/>
        <w:spacing w:after="0" w:line="300" w:lineRule="auto"/>
        <w:tabs>
          <w:tab w:leader="none" w:pos="137" w:val="left"/>
        </w:tabs>
        <w:numPr>
          <w:ilvl w:val="0"/>
          <w:numId w:val="41"/>
        </w:numPr>
        <w:rPr>
          <w:rFonts w:ascii="Arial" w:cs="Arial" w:eastAsia="Arial" w:hAnsi="Arial"/>
          <w:sz w:val="12"/>
          <w:szCs w:val="12"/>
          <w:color w:val="auto"/>
        </w:rPr>
      </w:pPr>
      <w:r>
        <w:rPr>
          <w:rFonts w:ascii="Arial" w:cs="Arial" w:eastAsia="Arial" w:hAnsi="Arial"/>
          <w:sz w:val="16"/>
          <w:szCs w:val="16"/>
          <w:b w:val="1"/>
          <w:bCs w:val="1"/>
          <w:color w:val="auto"/>
        </w:rPr>
        <w:t>Operations (including IT)</w:t>
      </w:r>
      <w:r>
        <w:rPr>
          <w:rFonts w:ascii="Arial" w:cs="Arial" w:eastAsia="Arial" w:hAnsi="Arial"/>
          <w:sz w:val="16"/>
          <w:szCs w:val="16"/>
          <w:color w:val="auto"/>
        </w:rPr>
        <w:t>. The Operations category had eight goals for a possible 21 points related to security, certain product cost improvements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ramp up of U.S. manufacturing to benefit from the IRA, with targets tied to specific milestones, dollar values and percentages. We were successful in achieving certain security certifications and ramping up U.S. manufacturing, however, we scored 17.17 out of 21 on these goals due to not hitting all cost reduction targets.</w:t>
      </w:r>
    </w:p>
    <w:p>
      <w:pPr>
        <w:spacing w:after="0" w:line="125" w:lineRule="exact"/>
        <w:rPr>
          <w:rFonts w:ascii="Arial" w:cs="Arial" w:eastAsia="Arial" w:hAnsi="Arial"/>
          <w:sz w:val="12"/>
          <w:szCs w:val="12"/>
          <w:color w:val="auto"/>
        </w:rPr>
      </w:pPr>
    </w:p>
    <w:p>
      <w:pPr>
        <w:jc w:val="both"/>
        <w:ind w:left="160" w:hanging="159"/>
        <w:spacing w:after="0" w:line="306" w:lineRule="auto"/>
        <w:tabs>
          <w:tab w:leader="none" w:pos="137" w:val="left"/>
        </w:tabs>
        <w:numPr>
          <w:ilvl w:val="0"/>
          <w:numId w:val="41"/>
        </w:numPr>
        <w:rPr>
          <w:rFonts w:ascii="Arial" w:cs="Arial" w:eastAsia="Arial" w:hAnsi="Arial"/>
          <w:sz w:val="11"/>
          <w:szCs w:val="11"/>
          <w:color w:val="auto"/>
        </w:rPr>
      </w:pPr>
      <w:r>
        <w:rPr>
          <w:rFonts w:ascii="Arial" w:cs="Arial" w:eastAsia="Arial" w:hAnsi="Arial"/>
          <w:sz w:val="15"/>
          <w:szCs w:val="15"/>
          <w:b w:val="1"/>
          <w:bCs w:val="1"/>
          <w:color w:val="auto"/>
        </w:rPr>
        <w:t>Quality and Ease of Doing Business</w:t>
      </w:r>
      <w:r>
        <w:rPr>
          <w:rFonts w:ascii="Arial" w:cs="Arial" w:eastAsia="Arial" w:hAnsi="Arial"/>
          <w:sz w:val="15"/>
          <w:szCs w:val="15"/>
          <w:color w:val="auto"/>
        </w:rPr>
        <w:t>. These two categories focused on our customer experience. The Quality category had four goals for a possible total of</w:t>
      </w:r>
      <w:r>
        <w:rPr>
          <w:rFonts w:ascii="Arial" w:cs="Arial" w:eastAsia="Arial" w:hAnsi="Arial"/>
          <w:sz w:val="15"/>
          <w:szCs w:val="15"/>
          <w:b w:val="1"/>
          <w:bCs w:val="1"/>
          <w:color w:val="auto"/>
        </w:rPr>
        <w:t xml:space="preserve"> </w:t>
      </w:r>
      <w:r>
        <w:rPr>
          <w:rFonts w:ascii="Arial" w:cs="Arial" w:eastAsia="Arial" w:hAnsi="Arial"/>
          <w:sz w:val="15"/>
          <w:szCs w:val="15"/>
          <w:color w:val="auto"/>
        </w:rPr>
        <w:t>eight points related to maintaining or decreasing the number of defective parts per million (“DPPM”) for microinverter, battery and other products, with specific DPPM reduction targets for each quarter and for the entire year. The Ease of Doing Business (“EODB”) category had four goals for 11 points related to customer service initiatives, with targets set at improving the customer service net promoter score (“NPS”) to 73% for the year, improving wait times on solar and storage, and improving our worldwide distributor NPS to 40%, each with specific milestones or NPS targets each quarter. We achieved 6.74 out of 8</w:t>
      </w:r>
    </w:p>
    <w:p>
      <w:pPr>
        <w:jc w:val="both"/>
        <w:ind w:left="160"/>
        <w:spacing w:after="0" w:line="295" w:lineRule="auto"/>
        <w:rPr>
          <w:rFonts w:ascii="Arial" w:cs="Arial" w:eastAsia="Arial" w:hAnsi="Arial"/>
          <w:sz w:val="11"/>
          <w:szCs w:val="11"/>
          <w:color w:val="auto"/>
        </w:rPr>
      </w:pPr>
      <w:r>
        <w:rPr>
          <w:rFonts w:ascii="Arial" w:cs="Arial" w:eastAsia="Arial" w:hAnsi="Arial"/>
          <w:sz w:val="16"/>
          <w:szCs w:val="16"/>
          <w:color w:val="auto"/>
        </w:rPr>
        <w:t>possible points on the Quality goals by meeting the microinverter and battery annual DPPM targets but did not meet the other product DPPM targets due to the aggressive nature of the targets. We scored 10.20 out of 11 possible points on the EODB goals for exceeding the NPS targets and showing improvement on wait times.</w:t>
      </w:r>
    </w:p>
    <w:p>
      <w:pPr>
        <w:spacing w:after="0" w:line="129" w:lineRule="exact"/>
        <w:rPr>
          <w:rFonts w:ascii="Arial" w:cs="Arial" w:eastAsia="Arial" w:hAnsi="Arial"/>
          <w:sz w:val="11"/>
          <w:szCs w:val="11"/>
          <w:color w:val="auto"/>
        </w:rPr>
      </w:pPr>
    </w:p>
    <w:p>
      <w:pPr>
        <w:jc w:val="both"/>
        <w:ind w:left="160" w:hanging="159"/>
        <w:spacing w:after="0" w:line="305" w:lineRule="auto"/>
        <w:tabs>
          <w:tab w:leader="none" w:pos="137" w:val="left"/>
        </w:tabs>
        <w:numPr>
          <w:ilvl w:val="0"/>
          <w:numId w:val="41"/>
        </w:numPr>
        <w:rPr>
          <w:rFonts w:ascii="Arial" w:cs="Arial" w:eastAsia="Arial" w:hAnsi="Arial"/>
          <w:sz w:val="12"/>
          <w:szCs w:val="12"/>
          <w:color w:val="auto"/>
        </w:rPr>
      </w:pPr>
      <w:r>
        <w:rPr>
          <w:rFonts w:ascii="Arial" w:cs="Arial" w:eastAsia="Arial" w:hAnsi="Arial"/>
          <w:sz w:val="16"/>
          <w:szCs w:val="16"/>
          <w:b w:val="1"/>
          <w:bCs w:val="1"/>
          <w:color w:val="auto"/>
        </w:rPr>
        <w:t>Human Resources</w:t>
      </w:r>
      <w:r>
        <w:rPr>
          <w:rFonts w:ascii="Arial" w:cs="Arial" w:eastAsia="Arial" w:hAnsi="Arial"/>
          <w:sz w:val="16"/>
          <w:szCs w:val="16"/>
          <w:color w:val="auto"/>
        </w:rPr>
        <w:t>. The Human Resources category had a possible five points and one goal. The 100% target was set at improving each department’s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NPS (“eNPS”) score (as measured through a survey with numerical metrics). eNPS scores across various departments were mixed against the target set by the goal and therefore we scored 1.47 out of five possible points.</w:t>
      </w:r>
    </w:p>
    <w:p>
      <w:pPr>
        <w:spacing w:after="0" w:line="108" w:lineRule="exact"/>
        <w:rPr>
          <w:rFonts w:ascii="Arial" w:cs="Arial" w:eastAsia="Arial" w:hAnsi="Arial"/>
          <w:sz w:val="12"/>
          <w:szCs w:val="12"/>
          <w:color w:val="auto"/>
        </w:rPr>
      </w:pPr>
    </w:p>
    <w:p>
      <w:pPr>
        <w:ind w:left="160" w:hanging="159"/>
        <w:spacing w:after="0" w:line="321" w:lineRule="auto"/>
        <w:tabs>
          <w:tab w:leader="none" w:pos="137" w:val="left"/>
        </w:tabs>
        <w:numPr>
          <w:ilvl w:val="0"/>
          <w:numId w:val="41"/>
        </w:numPr>
        <w:rPr>
          <w:rFonts w:ascii="Arial" w:cs="Arial" w:eastAsia="Arial" w:hAnsi="Arial"/>
          <w:sz w:val="12"/>
          <w:szCs w:val="12"/>
          <w:color w:val="auto"/>
        </w:rPr>
      </w:pPr>
      <w:r>
        <w:rPr>
          <w:rFonts w:ascii="Arial" w:cs="Arial" w:eastAsia="Arial" w:hAnsi="Arial"/>
          <w:sz w:val="16"/>
          <w:szCs w:val="16"/>
          <w:b w:val="1"/>
          <w:bCs w:val="1"/>
          <w:color w:val="auto"/>
        </w:rPr>
        <w:t>Marketing</w:t>
      </w:r>
      <w:r>
        <w:rPr>
          <w:rFonts w:ascii="Arial" w:cs="Arial" w:eastAsia="Arial" w:hAnsi="Arial"/>
          <w:sz w:val="16"/>
          <w:szCs w:val="16"/>
          <w:color w:val="auto"/>
        </w:rPr>
        <w:t>. The Marketing category had three goals for a possible total of four points related to website improvements, go to market improvements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increasing grid services agreements. We mostly met the targets and scored 3.5 out of four possible points.</w:t>
      </w:r>
    </w:p>
    <w:p>
      <w:pPr>
        <w:spacing w:after="0" w:line="108" w:lineRule="exact"/>
        <w:rPr>
          <w:rFonts w:ascii="Arial" w:cs="Arial" w:eastAsia="Arial" w:hAnsi="Arial"/>
          <w:sz w:val="12"/>
          <w:szCs w:val="12"/>
          <w:color w:val="auto"/>
        </w:rPr>
      </w:pPr>
    </w:p>
    <w:p>
      <w:pPr>
        <w:jc w:val="both"/>
        <w:ind w:left="160" w:hanging="159"/>
        <w:spacing w:after="0" w:line="310" w:lineRule="auto"/>
        <w:tabs>
          <w:tab w:leader="none" w:pos="136" w:val="left"/>
        </w:tabs>
        <w:numPr>
          <w:ilvl w:val="0"/>
          <w:numId w:val="41"/>
        </w:numPr>
        <w:rPr>
          <w:rFonts w:ascii="Arial" w:cs="Arial" w:eastAsia="Arial" w:hAnsi="Arial"/>
          <w:sz w:val="15"/>
          <w:szCs w:val="15"/>
          <w:color w:val="auto"/>
        </w:rPr>
      </w:pPr>
      <w:r>
        <w:rPr>
          <w:rFonts w:ascii="Arial" w:cs="Arial" w:eastAsia="Arial" w:hAnsi="Arial"/>
          <w:sz w:val="15"/>
          <w:szCs w:val="15"/>
          <w:b w:val="1"/>
          <w:bCs w:val="1"/>
          <w:color w:val="auto"/>
        </w:rPr>
        <w:t>Mergers and Acquisitions / ESG</w:t>
      </w:r>
      <w:r>
        <w:rPr>
          <w:rFonts w:ascii="Arial" w:cs="Arial" w:eastAsia="Arial" w:hAnsi="Arial"/>
          <w:sz w:val="15"/>
          <w:szCs w:val="15"/>
          <w:color w:val="auto"/>
        </w:rPr>
        <w:t>. This category had two binary goals for two points possible related to integrating an acquisition target according to certain</w:t>
      </w:r>
      <w:r>
        <w:rPr>
          <w:rFonts w:ascii="Arial" w:cs="Arial" w:eastAsia="Arial" w:hAnsi="Arial"/>
          <w:sz w:val="15"/>
          <w:szCs w:val="15"/>
          <w:b w:val="1"/>
          <w:bCs w:val="1"/>
          <w:color w:val="auto"/>
        </w:rPr>
        <w:t xml:space="preserve"> </w:t>
      </w:r>
      <w:r>
        <w:rPr>
          <w:rFonts w:ascii="Arial" w:cs="Arial" w:eastAsia="Arial" w:hAnsi="Arial"/>
          <w:sz w:val="15"/>
          <w:szCs w:val="15"/>
          <w:color w:val="auto"/>
        </w:rPr>
        <w:t>milestones to be completed in each quarter, such as integrating employees and organizational structure, IT systems, websites, finance, contracts, intellectual</w:t>
      </w:r>
    </w:p>
    <w:p>
      <w:pPr>
        <w:jc w:val="both"/>
        <w:ind w:left="160"/>
        <w:spacing w:after="0" w:line="295" w:lineRule="auto"/>
        <w:rPr>
          <w:rFonts w:ascii="Arial" w:cs="Arial" w:eastAsia="Arial" w:hAnsi="Arial"/>
          <w:sz w:val="15"/>
          <w:szCs w:val="15"/>
          <w:color w:val="auto"/>
        </w:rPr>
      </w:pPr>
      <w:r>
        <w:rPr>
          <w:rFonts w:ascii="Arial" w:cs="Arial" w:eastAsia="Arial" w:hAnsi="Arial"/>
          <w:sz w:val="16"/>
          <w:szCs w:val="16"/>
          <w:color w:val="auto"/>
        </w:rPr>
        <w:t>property and other activities. The other goal in this category related to the installation of solar systems on certain Enphase facilities in order to reduce our carbon footprint. We achieved 1.67 out of two possible points because while all targeted solar installations were completed in 2023, one installation was not fully commissioned until the first quarter of 2024.</w:t>
      </w:r>
    </w:p>
    <w:p>
      <w:pPr>
        <w:spacing w:after="0" w:line="200" w:lineRule="exact"/>
        <w:rPr>
          <w:sz w:val="20"/>
          <w:szCs w:val="20"/>
          <w:color w:val="auto"/>
        </w:rPr>
      </w:pPr>
    </w:p>
    <w:p>
      <w:pPr>
        <w:spacing w:after="0" w:line="397"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68580</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480" w:top="793" w:right="339" w:bottom="1440" w:gutter="0" w:footer="0" w:header="0"/>
        </w:sectPr>
      </w:pPr>
    </w:p>
    <w:bookmarkStart w:id="47" w:name="page48"/>
    <w:bookmarkEnd w:id="47"/>
    <w:p>
      <w:pPr>
        <w:spacing w:after="0"/>
        <w:rPr>
          <w:sz w:val="20"/>
          <w:szCs w:val="20"/>
          <w:color w:val="auto"/>
        </w:rPr>
      </w:pPr>
      <w:r>
        <w:rPr>
          <w:rFonts w:ascii="Arial" w:cs="Arial" w:eastAsia="Arial" w:hAnsi="Arial"/>
          <w:sz w:val="21"/>
          <w:szCs w:val="21"/>
          <w:b w:val="1"/>
          <w:bCs w:val="1"/>
          <w:color w:val="auto"/>
        </w:rPr>
        <w:t>PSUs tied to Relative TSR</w:t>
      </w:r>
    </w:p>
    <w:p>
      <w:pPr>
        <w:spacing w:after="0" w:line="12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In 2023, the Compensation Committee eliminated the individual goals PSUs and replaced it with a three-year Relative TSR award. The Compensation Committee believes that this type of award is an objective and meaningful metric to evaluate our performance against the performance of other large companies in the S&amp;P 500 and better aligns the interests of our NEOs with the interests of our stockholders in creating long-term value.</w:t>
      </w:r>
    </w:p>
    <w:p>
      <w:pPr>
        <w:spacing w:after="0" w:line="124"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The Compensation Committee believes that a three-year TSR award is a substantial, at-risk component of our NEOs’ compensation tied to our long-term performance. The number of PSUs that vest, if any, depends entirely on Relative TSR for the applicable performance period. To earn the target number of PSUs, we must achieve above-median performance at the 55th percentile of the S&amp;P 500. We measure Relative TSR for the applicable performance period based on the change in each company’s stock price during the applicable performance period, taking into account any dividends paid during that period, which are assumed to be reinvested in the stock. We use a 10-trading-day averaging period to determine the beginning and ending stock price to calculate our TSR and that of each company in the S&amp;P 500. This averaging period mitigates the impact of one-day or short-term stock price fluctuations at the beginning or end of the performance period on the long-term Relative TSR results. For each company, the change in stock price from the beginning to the end of the performance period is divided by the beginning stock price to determine TSR.</w:t>
      </w:r>
    </w:p>
    <w:p>
      <w:pPr>
        <w:spacing w:after="0" w:line="13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TSR award is eligible to vest on March 1, 2026, measured over the period starting January 1, 2023 and ending December 31, 2025. Subject to the terms of the applicable award agreements, between zero and 200% of the target number of the TSR award will vest on March 1, 2026, depending on our Relative TSR percentile ranking for the performance period and provided the NEO remains in continuous service through that date, as follows:</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5640" w:type="dxa"/>
            <w:vAlign w:val="bottom"/>
            <w:tcBorders>
              <w:left w:val="single" w:sz="8" w:color="3C3C3C"/>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Relative TSR Percentile v. S&amp;P 500 Companies</w:t>
            </w:r>
          </w:p>
        </w:tc>
        <w:tc>
          <w:tcPr>
            <w:tcW w:w="5600" w:type="dxa"/>
            <w:vAlign w:val="bottom"/>
            <w:shd w:val="clear" w:color="auto" w:fill="3C3C3C"/>
          </w:tcPr>
          <w:p>
            <w:pPr>
              <w:ind w:left="1320"/>
              <w:spacing w:after="0"/>
              <w:rPr>
                <w:sz w:val="20"/>
                <w:szCs w:val="20"/>
                <w:color w:val="auto"/>
              </w:rPr>
            </w:pPr>
            <w:r>
              <w:rPr>
                <w:rFonts w:ascii="Arial" w:cs="Arial" w:eastAsia="Arial" w:hAnsi="Arial"/>
                <w:sz w:val="14"/>
                <w:szCs w:val="14"/>
                <w:b w:val="1"/>
                <w:bCs w:val="1"/>
                <w:color w:val="FFFFFF"/>
              </w:rPr>
              <w:t>TSR PSUs Vesting as a Percentage of Target</w:t>
            </w:r>
          </w:p>
        </w:tc>
        <w:tc>
          <w:tcPr>
            <w:tcW w:w="20" w:type="dxa"/>
            <w:vAlign w:val="bottom"/>
          </w:tcPr>
          <w:p>
            <w:pPr>
              <w:spacing w:after="0"/>
              <w:rPr>
                <w:sz w:val="19"/>
                <w:szCs w:val="19"/>
                <w:color w:val="auto"/>
              </w:rPr>
            </w:pPr>
          </w:p>
        </w:tc>
      </w:tr>
      <w:tr>
        <w:trPr>
          <w:trHeight w:val="288"/>
        </w:trPr>
        <w:tc>
          <w:tcPr>
            <w:tcW w:w="56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85</w:t>
            </w:r>
            <w:r>
              <w:rPr>
                <w:rFonts w:ascii="Arial" w:cs="Arial" w:eastAsia="Arial" w:hAnsi="Arial"/>
                <w:sz w:val="20"/>
                <w:szCs w:val="20"/>
                <w:b w:val="1"/>
                <w:bCs w:val="1"/>
                <w:color w:val="auto"/>
                <w:vertAlign w:val="superscript"/>
              </w:rPr>
              <w:t>th</w:t>
            </w:r>
            <w:r>
              <w:rPr>
                <w:rFonts w:ascii="Arial" w:cs="Arial" w:eastAsia="Arial" w:hAnsi="Arial"/>
                <w:sz w:val="16"/>
                <w:szCs w:val="16"/>
                <w:b w:val="1"/>
                <w:bCs w:val="1"/>
                <w:color w:val="auto"/>
              </w:rPr>
              <w:t xml:space="preserve"> Percentile or above</w:t>
            </w:r>
          </w:p>
        </w:tc>
        <w:tc>
          <w:tcPr>
            <w:tcW w:w="56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7"/>
              </w:rPr>
              <w:t>200%</w:t>
            </w:r>
          </w:p>
        </w:tc>
        <w:tc>
          <w:tcPr>
            <w:tcW w:w="20" w:type="dxa"/>
            <w:vAlign w:val="bottom"/>
            <w:shd w:val="clear" w:color="auto" w:fill="7D7D7D"/>
          </w:tcPr>
          <w:p>
            <w:pPr>
              <w:spacing w:after="0"/>
              <w:rPr>
                <w:sz w:val="24"/>
                <w:szCs w:val="24"/>
                <w:color w:val="auto"/>
              </w:rPr>
            </w:pPr>
          </w:p>
        </w:tc>
      </w:tr>
      <w:tr>
        <w:trPr>
          <w:trHeight w:val="288"/>
        </w:trPr>
        <w:tc>
          <w:tcPr>
            <w:tcW w:w="56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55</w:t>
            </w:r>
            <w:r>
              <w:rPr>
                <w:rFonts w:ascii="Arial" w:cs="Arial" w:eastAsia="Arial" w:hAnsi="Arial"/>
                <w:sz w:val="20"/>
                <w:szCs w:val="20"/>
                <w:b w:val="1"/>
                <w:bCs w:val="1"/>
                <w:color w:val="auto"/>
                <w:vertAlign w:val="superscript"/>
              </w:rPr>
              <w:t>th</w:t>
            </w:r>
            <w:r>
              <w:rPr>
                <w:rFonts w:ascii="Arial" w:cs="Arial" w:eastAsia="Arial" w:hAnsi="Arial"/>
                <w:sz w:val="16"/>
                <w:szCs w:val="16"/>
                <w:b w:val="1"/>
                <w:bCs w:val="1"/>
                <w:color w:val="auto"/>
              </w:rPr>
              <w:t xml:space="preserve"> Percentile</w:t>
            </w:r>
          </w:p>
        </w:tc>
        <w:tc>
          <w:tcPr>
            <w:tcW w:w="56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20" w:type="dxa"/>
            <w:vAlign w:val="bottom"/>
            <w:shd w:val="clear" w:color="auto" w:fill="7D7D7D"/>
          </w:tcPr>
          <w:p>
            <w:pPr>
              <w:spacing w:after="0"/>
              <w:rPr>
                <w:sz w:val="24"/>
                <w:szCs w:val="24"/>
                <w:color w:val="auto"/>
              </w:rPr>
            </w:pPr>
          </w:p>
        </w:tc>
      </w:tr>
      <w:tr>
        <w:trPr>
          <w:trHeight w:val="288"/>
        </w:trPr>
        <w:tc>
          <w:tcPr>
            <w:tcW w:w="56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Below the 25</w:t>
            </w:r>
            <w:r>
              <w:rPr>
                <w:rFonts w:ascii="Arial" w:cs="Arial" w:eastAsia="Arial" w:hAnsi="Arial"/>
                <w:sz w:val="20"/>
                <w:szCs w:val="20"/>
                <w:b w:val="1"/>
                <w:bCs w:val="1"/>
                <w:color w:val="auto"/>
                <w:vertAlign w:val="superscript"/>
              </w:rPr>
              <w:t>th</w:t>
            </w:r>
            <w:r>
              <w:rPr>
                <w:rFonts w:ascii="Arial" w:cs="Arial" w:eastAsia="Arial" w:hAnsi="Arial"/>
                <w:sz w:val="16"/>
                <w:szCs w:val="16"/>
                <w:b w:val="1"/>
                <w:bCs w:val="1"/>
                <w:color w:val="auto"/>
              </w:rPr>
              <w:t xml:space="preserve"> Percentile</w:t>
            </w:r>
          </w:p>
        </w:tc>
        <w:tc>
          <w:tcPr>
            <w:tcW w:w="56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2"/>
              </w:rPr>
              <w:t>—%</w:t>
            </w:r>
          </w:p>
        </w:tc>
        <w:tc>
          <w:tcPr>
            <w:tcW w:w="20" w:type="dxa"/>
            <w:vAlign w:val="bottom"/>
            <w:shd w:val="clear" w:color="auto" w:fill="7D7D7D"/>
          </w:tcPr>
          <w:p>
            <w:pPr>
              <w:spacing w:after="0"/>
              <w:rPr>
                <w:sz w:val="24"/>
                <w:szCs w:val="24"/>
                <w:color w:val="auto"/>
              </w:rPr>
            </w:pPr>
          </w:p>
        </w:tc>
      </w:tr>
    </w:tbl>
    <w:p>
      <w:pPr>
        <w:spacing w:after="0" w:line="249"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If our TSR for the performance period is negative, the number of PSUs that vest will be capped at 100% of the target regardless of our percentile ranking. If our Relative TSR percentile ranking is above the 25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and between the other levels shown in the table above, the portion of the PSUs that vest will be linearly interpolated between the two nearest vesting percentages.</w:t>
      </w:r>
    </w:p>
    <w:p>
      <w:pPr>
        <w:spacing w:after="0" w:line="128"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The table below summarizes the target number of TSR PSUs awarded to each NEO (other than Mr. McNeil, who, as noted above, did not participate in the 2023 PSP and did not receive any PSUs in 2023).</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340" w:type="dxa"/>
            <w:vAlign w:val="bottom"/>
            <w:tcBorders>
              <w:left w:val="single" w:sz="8" w:color="7D7D7D"/>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19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Date of Grant</w:t>
            </w:r>
          </w:p>
        </w:tc>
        <w:tc>
          <w:tcPr>
            <w:tcW w:w="19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Number of Shares</w:t>
            </w:r>
          </w:p>
        </w:tc>
        <w:tc>
          <w:tcPr>
            <w:tcW w:w="202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Number of Shares Underlying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5340" w:type="dxa"/>
            <w:vAlign w:val="bottom"/>
            <w:tcBorders>
              <w:left w:val="single" w:sz="8" w:color="7D7D7D"/>
              <w:right w:val="single" w:sz="8" w:color="3C3C3C"/>
            </w:tcBorders>
            <w:vMerge w:val="continue"/>
            <w:shd w:val="clear" w:color="auto" w:fill="3C3C3C"/>
          </w:tcPr>
          <w:p>
            <w:pPr>
              <w:spacing w:after="0"/>
              <w:rPr>
                <w:sz w:val="6"/>
                <w:szCs w:val="6"/>
                <w:color w:val="auto"/>
              </w:rPr>
            </w:pPr>
          </w:p>
        </w:tc>
        <w:tc>
          <w:tcPr>
            <w:tcW w:w="1920" w:type="dxa"/>
            <w:vAlign w:val="bottom"/>
            <w:tcBorders>
              <w:right w:val="single" w:sz="8" w:color="3C3C3C"/>
            </w:tcBorders>
            <w:vMerge w:val="continue"/>
            <w:shd w:val="clear" w:color="auto" w:fill="3C3C3C"/>
          </w:tcPr>
          <w:p>
            <w:pPr>
              <w:spacing w:after="0"/>
              <w:rPr>
                <w:sz w:val="6"/>
                <w:szCs w:val="6"/>
                <w:color w:val="auto"/>
              </w:rPr>
            </w:pPr>
          </w:p>
        </w:tc>
        <w:tc>
          <w:tcPr>
            <w:tcW w:w="19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Underlying PSUs</w:t>
            </w:r>
          </w:p>
        </w:tc>
        <w:tc>
          <w:tcPr>
            <w:tcW w:w="202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5340" w:type="dxa"/>
            <w:vAlign w:val="bottom"/>
            <w:tcBorders>
              <w:left w:val="single" w:sz="8" w:color="7D7D7D"/>
              <w:right w:val="single" w:sz="8" w:color="3C3C3C"/>
            </w:tcBorders>
            <w:vMerge w:val="continue"/>
            <w:shd w:val="clear" w:color="auto" w:fill="3C3C3C"/>
          </w:tcPr>
          <w:p>
            <w:pPr>
              <w:spacing w:after="0"/>
              <w:rPr>
                <w:sz w:val="7"/>
                <w:szCs w:val="7"/>
                <w:color w:val="auto"/>
              </w:rPr>
            </w:pPr>
          </w:p>
        </w:tc>
        <w:tc>
          <w:tcPr>
            <w:tcW w:w="1920" w:type="dxa"/>
            <w:vAlign w:val="bottom"/>
            <w:tcBorders>
              <w:right w:val="single" w:sz="8" w:color="3C3C3C"/>
            </w:tcBorders>
            <w:vMerge w:val="continue"/>
            <w:shd w:val="clear" w:color="auto" w:fill="3C3C3C"/>
          </w:tcPr>
          <w:p>
            <w:pPr>
              <w:spacing w:after="0"/>
              <w:rPr>
                <w:sz w:val="7"/>
                <w:szCs w:val="7"/>
                <w:color w:val="auto"/>
              </w:rPr>
            </w:pPr>
          </w:p>
        </w:tc>
        <w:tc>
          <w:tcPr>
            <w:tcW w:w="1960" w:type="dxa"/>
            <w:vAlign w:val="bottom"/>
            <w:tcBorders>
              <w:right w:val="single" w:sz="8" w:color="3C3C3C"/>
            </w:tcBorders>
            <w:vMerge w:val="continue"/>
            <w:shd w:val="clear" w:color="auto" w:fill="3C3C3C"/>
          </w:tcPr>
          <w:p>
            <w:pPr>
              <w:spacing w:after="0"/>
              <w:rPr>
                <w:sz w:val="7"/>
                <w:szCs w:val="7"/>
                <w:color w:val="auto"/>
              </w:rPr>
            </w:pPr>
          </w:p>
        </w:tc>
        <w:tc>
          <w:tcPr>
            <w:tcW w:w="202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PSUs (at Maximum)</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340" w:type="dxa"/>
            <w:vAlign w:val="bottom"/>
            <w:tcBorders>
              <w:left w:val="single" w:sz="8" w:color="7D7D7D"/>
              <w:right w:val="single" w:sz="8" w:color="3C3C3C"/>
            </w:tcBorders>
            <w:shd w:val="clear" w:color="auto" w:fill="3C3C3C"/>
          </w:tcPr>
          <w:p>
            <w:pPr>
              <w:spacing w:after="0"/>
              <w:rPr>
                <w:sz w:val="8"/>
                <w:szCs w:val="8"/>
                <w:color w:val="auto"/>
              </w:rPr>
            </w:pPr>
          </w:p>
        </w:tc>
        <w:tc>
          <w:tcPr>
            <w:tcW w:w="1920" w:type="dxa"/>
            <w:vAlign w:val="bottom"/>
            <w:tcBorders>
              <w:right w:val="single" w:sz="8" w:color="3C3C3C"/>
            </w:tcBorders>
            <w:shd w:val="clear" w:color="auto" w:fill="3C3C3C"/>
          </w:tcPr>
          <w:p>
            <w:pPr>
              <w:spacing w:after="0"/>
              <w:rPr>
                <w:sz w:val="8"/>
                <w:szCs w:val="8"/>
                <w:color w:val="auto"/>
              </w:rPr>
            </w:pPr>
          </w:p>
        </w:tc>
        <w:tc>
          <w:tcPr>
            <w:tcW w:w="19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(Initially granted at target)</w:t>
            </w:r>
          </w:p>
        </w:tc>
        <w:tc>
          <w:tcPr>
            <w:tcW w:w="2020" w:type="dxa"/>
            <w:vAlign w:val="bottom"/>
            <w:vMerge w:val="continue"/>
            <w:shd w:val="clear" w:color="auto" w:fill="3C3C3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340" w:type="dxa"/>
            <w:vAlign w:val="bottom"/>
            <w:tcBorders>
              <w:left w:val="single" w:sz="8" w:color="7D7D7D"/>
              <w:right w:val="single" w:sz="8" w:color="3C3C3C"/>
            </w:tcBorders>
            <w:shd w:val="clear" w:color="auto" w:fill="3C3C3C"/>
          </w:tcPr>
          <w:p>
            <w:pPr>
              <w:spacing w:after="0"/>
              <w:rPr>
                <w:sz w:val="7"/>
                <w:szCs w:val="7"/>
                <w:color w:val="auto"/>
              </w:rPr>
            </w:pPr>
          </w:p>
        </w:tc>
        <w:tc>
          <w:tcPr>
            <w:tcW w:w="1920" w:type="dxa"/>
            <w:vAlign w:val="bottom"/>
            <w:tcBorders>
              <w:right w:val="single" w:sz="8" w:color="3C3C3C"/>
            </w:tcBorders>
            <w:shd w:val="clear" w:color="auto" w:fill="3C3C3C"/>
          </w:tcPr>
          <w:p>
            <w:pPr>
              <w:spacing w:after="0"/>
              <w:rPr>
                <w:sz w:val="7"/>
                <w:szCs w:val="7"/>
                <w:color w:val="auto"/>
              </w:rPr>
            </w:pPr>
          </w:p>
        </w:tc>
        <w:tc>
          <w:tcPr>
            <w:tcW w:w="1960" w:type="dxa"/>
            <w:vAlign w:val="bottom"/>
            <w:tcBorders>
              <w:right w:val="single" w:sz="8" w:color="3C3C3C"/>
            </w:tcBorders>
            <w:vMerge w:val="continue"/>
            <w:shd w:val="clear" w:color="auto" w:fill="3C3C3C"/>
          </w:tcPr>
          <w:p>
            <w:pPr>
              <w:spacing w:after="0"/>
              <w:rPr>
                <w:sz w:val="7"/>
                <w:szCs w:val="7"/>
                <w:color w:val="auto"/>
              </w:rPr>
            </w:pPr>
          </w:p>
        </w:tc>
        <w:tc>
          <w:tcPr>
            <w:tcW w:w="2020" w:type="dxa"/>
            <w:vAlign w:val="bottom"/>
            <w:shd w:val="clear" w:color="auto" w:fill="3C3C3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53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9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3/8/2023</w:t>
            </w:r>
          </w:p>
        </w:tc>
        <w:tc>
          <w:tcPr>
            <w:tcW w:w="19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27,200</w:t>
            </w:r>
          </w:p>
        </w:tc>
        <w:tc>
          <w:tcPr>
            <w:tcW w:w="20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54,400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4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92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6"/>
              </w:rPr>
              <w:t>3/8/2023</w:t>
            </w:r>
          </w:p>
        </w:tc>
        <w:tc>
          <w:tcPr>
            <w:tcW w:w="1960" w:type="dxa"/>
            <w:vAlign w:val="bottom"/>
            <w:tcBorders>
              <w:right w:val="single" w:sz="8" w:color="7D7D7D"/>
            </w:tcBorders>
          </w:tcPr>
          <w:p>
            <w:pPr>
              <w:jc w:val="center"/>
              <w:spacing w:after="0"/>
              <w:rPr>
                <w:sz w:val="20"/>
                <w:szCs w:val="20"/>
                <w:color w:val="auto"/>
              </w:rPr>
            </w:pPr>
            <w:r>
              <w:rPr>
                <w:rFonts w:ascii="Arial" w:cs="Arial" w:eastAsia="Arial" w:hAnsi="Arial"/>
                <w:sz w:val="16"/>
                <w:szCs w:val="16"/>
                <w:color w:val="auto"/>
                <w:w w:val="99"/>
              </w:rPr>
              <w:t>8,840</w:t>
            </w:r>
          </w:p>
        </w:tc>
        <w:tc>
          <w:tcPr>
            <w:tcW w:w="2020" w:type="dxa"/>
            <w:vAlign w:val="bottom"/>
          </w:tcPr>
          <w:p>
            <w:pPr>
              <w:jc w:val="center"/>
              <w:spacing w:after="0"/>
              <w:rPr>
                <w:sz w:val="20"/>
                <w:szCs w:val="20"/>
                <w:color w:val="auto"/>
              </w:rPr>
            </w:pPr>
            <w:r>
              <w:rPr>
                <w:rFonts w:ascii="Arial" w:cs="Arial" w:eastAsia="Arial" w:hAnsi="Arial"/>
                <w:sz w:val="16"/>
                <w:szCs w:val="16"/>
                <w:color w:val="auto"/>
                <w:w w:val="98"/>
              </w:rPr>
              <w:t>17,680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192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3/8/2023 and 7/21/2023</w:t>
            </w:r>
          </w:p>
        </w:tc>
        <w:tc>
          <w:tcPr>
            <w:tcW w:w="196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18,700</w:t>
            </w:r>
          </w:p>
        </w:tc>
        <w:tc>
          <w:tcPr>
            <w:tcW w:w="20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37,400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w:t>
      </w:r>
    </w:p>
    <w:p>
      <w:pPr>
        <w:spacing w:after="0" w:line="63" w:lineRule="exact"/>
        <w:rPr>
          <w:sz w:val="20"/>
          <w:szCs w:val="20"/>
          <w:color w:val="auto"/>
        </w:rPr>
      </w:pPr>
    </w:p>
    <w:p>
      <w:pPr>
        <w:ind w:left="240" w:right="20" w:hanging="235"/>
        <w:spacing w:after="0" w:line="287" w:lineRule="auto"/>
        <w:tabs>
          <w:tab w:leader="none" w:pos="226" w:val="left"/>
        </w:tabs>
        <w:numPr>
          <w:ilvl w:val="0"/>
          <w:numId w:val="42"/>
        </w:numPr>
        <w:rPr>
          <w:rFonts w:ascii="Arial" w:cs="Arial" w:eastAsia="Arial" w:hAnsi="Arial"/>
          <w:sz w:val="14"/>
          <w:szCs w:val="14"/>
          <w:color w:val="7D7D7D"/>
        </w:rPr>
      </w:pPr>
      <w:r>
        <w:rPr>
          <w:rFonts w:ascii="Arial" w:cs="Arial" w:eastAsia="Arial" w:hAnsi="Arial"/>
          <w:sz w:val="14"/>
          <w:szCs w:val="14"/>
          <w:color w:val="7D7D7D"/>
        </w:rPr>
        <w:t>Mr. Ranhoff was initially granted an award of 5,100 TSR PSUs under the 2023 PSP in March 2023. However, as noted above, as an incentive to have Mr. Ranhoff stay on as CCO, the Compensation Committee awarded him an additional 13,600 TSR PSUs under the 2023 PSP in July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54" w:right="319" w:bottom="1440" w:gutter="0" w:footer="0" w:header="0"/>
        </w:sectPr>
      </w:pPr>
    </w:p>
    <w:bookmarkStart w:id="48" w:name="page49"/>
    <w:bookmarkEnd w:id="48"/>
    <w:p>
      <w:pPr>
        <w:spacing w:after="0"/>
        <w:rPr>
          <w:sz w:val="20"/>
          <w:szCs w:val="20"/>
          <w:color w:val="auto"/>
        </w:rPr>
      </w:pPr>
      <w:r>
        <w:rPr>
          <w:rFonts w:ascii="Arial" w:cs="Arial" w:eastAsia="Arial" w:hAnsi="Arial"/>
          <w:sz w:val="21"/>
          <w:szCs w:val="21"/>
          <w:b w:val="1"/>
          <w:bCs w:val="1"/>
          <w:color w:val="auto"/>
        </w:rPr>
        <w:t>Payout of 2023 PSUs</w:t>
      </w:r>
    </w:p>
    <w:p>
      <w:pPr>
        <w:spacing w:after="0" w:line="125"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auto"/>
        </w:rPr>
        <w:t>On January 25, 2024, the Compensation Committee approved the vesting and settlement of PSUs eligible to vest on March 1, 2024. Accordingly, each NEO’s PSUs were paid out as follows: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600" w:type="dxa"/>
            <w:vAlign w:val="bottom"/>
            <w:tcBorders>
              <w:left w:val="single" w:sz="8" w:color="3C3C3C"/>
              <w:right w:val="single" w:sz="8" w:color="3C3C3C"/>
            </w:tcBorders>
            <w:shd w:val="clear" w:color="auto" w:fill="3C3C3C"/>
          </w:tcPr>
          <w:p>
            <w:pPr>
              <w:spacing w:after="0"/>
              <w:rPr>
                <w:sz w:val="16"/>
                <w:szCs w:val="16"/>
                <w:color w:val="auto"/>
              </w:rPr>
            </w:pPr>
          </w:p>
        </w:tc>
        <w:tc>
          <w:tcPr>
            <w:tcW w:w="1920" w:type="dxa"/>
            <w:vAlign w:val="bottom"/>
            <w:tcBorders>
              <w:right w:val="single" w:sz="8" w:color="3C3C3C"/>
            </w:tcBorders>
            <w:shd w:val="clear" w:color="auto" w:fill="3C3C3C"/>
          </w:tcPr>
          <w:p>
            <w:pPr>
              <w:jc w:val="center"/>
              <w:ind w:right="87"/>
              <w:spacing w:after="0"/>
              <w:rPr>
                <w:sz w:val="20"/>
                <w:szCs w:val="20"/>
                <w:color w:val="auto"/>
              </w:rPr>
            </w:pPr>
            <w:r>
              <w:rPr>
                <w:rFonts w:ascii="Arial" w:cs="Arial" w:eastAsia="Arial" w:hAnsi="Arial"/>
                <w:sz w:val="14"/>
                <w:szCs w:val="14"/>
                <w:b w:val="1"/>
                <w:bCs w:val="1"/>
                <w:color w:val="FFFFFF"/>
                <w:w w:val="98"/>
              </w:rPr>
              <w:t>Number of Shares Paid</w:t>
            </w:r>
          </w:p>
        </w:tc>
        <w:tc>
          <w:tcPr>
            <w:tcW w:w="1920" w:type="dxa"/>
            <w:vAlign w:val="bottom"/>
            <w:tcBorders>
              <w:right w:val="single" w:sz="8" w:color="3C3C3C"/>
            </w:tcBorders>
            <w:vMerge w:val="restart"/>
            <w:shd w:val="clear" w:color="auto" w:fill="3C3C3C"/>
          </w:tcPr>
          <w:p>
            <w:pPr>
              <w:jc w:val="center"/>
              <w:ind w:right="86"/>
              <w:spacing w:after="0"/>
              <w:rPr>
                <w:sz w:val="20"/>
                <w:szCs w:val="20"/>
                <w:color w:val="auto"/>
              </w:rPr>
            </w:pPr>
            <w:r>
              <w:rPr>
                <w:rFonts w:ascii="Arial" w:cs="Arial" w:eastAsia="Arial" w:hAnsi="Arial"/>
                <w:sz w:val="14"/>
                <w:szCs w:val="14"/>
                <w:b w:val="1"/>
                <w:bCs w:val="1"/>
                <w:color w:val="FFFFFF"/>
                <w:w w:val="98"/>
              </w:rPr>
              <w:t>Number of Shares Paid</w:t>
            </w:r>
          </w:p>
        </w:tc>
        <w:tc>
          <w:tcPr>
            <w:tcW w:w="18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Total Number of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5600" w:type="dxa"/>
            <w:vAlign w:val="bottom"/>
            <w:tcBorders>
              <w:left w:val="single" w:sz="8" w:color="3C3C3C"/>
              <w:right w:val="single" w:sz="8" w:color="3C3C3C"/>
            </w:tcBorders>
            <w:shd w:val="clear" w:color="auto" w:fill="3C3C3C"/>
          </w:tcPr>
          <w:p>
            <w:pPr>
              <w:spacing w:after="0"/>
              <w:rPr>
                <w:sz w:val="6"/>
                <w:szCs w:val="6"/>
                <w:color w:val="auto"/>
              </w:rPr>
            </w:pPr>
          </w:p>
        </w:tc>
        <w:tc>
          <w:tcPr>
            <w:tcW w:w="1920" w:type="dxa"/>
            <w:vAlign w:val="bottom"/>
            <w:tcBorders>
              <w:right w:val="single" w:sz="8" w:color="3C3C3C"/>
            </w:tcBorders>
            <w:vMerge w:val="restart"/>
            <w:shd w:val="clear" w:color="auto" w:fill="3C3C3C"/>
          </w:tcPr>
          <w:p>
            <w:pPr>
              <w:jc w:val="center"/>
              <w:ind w:right="87"/>
              <w:spacing w:after="0" w:line="157" w:lineRule="exact"/>
              <w:rPr>
                <w:sz w:val="20"/>
                <w:szCs w:val="20"/>
                <w:color w:val="auto"/>
              </w:rPr>
            </w:pPr>
            <w:r>
              <w:rPr>
                <w:rFonts w:ascii="Arial" w:cs="Arial" w:eastAsia="Arial" w:hAnsi="Arial"/>
                <w:sz w:val="14"/>
                <w:szCs w:val="14"/>
                <w:b w:val="1"/>
                <w:bCs w:val="1"/>
                <w:color w:val="FFFFFF"/>
                <w:w w:val="98"/>
              </w:rPr>
              <w:t>out for CEO Goals</w:t>
            </w:r>
          </w:p>
        </w:tc>
        <w:tc>
          <w:tcPr>
            <w:tcW w:w="1920" w:type="dxa"/>
            <w:vAlign w:val="bottom"/>
            <w:tcBorders>
              <w:right w:val="single" w:sz="8" w:color="3C3C3C"/>
            </w:tcBorders>
            <w:vMerge w:val="continue"/>
            <w:shd w:val="clear" w:color="auto" w:fill="3C3C3C"/>
          </w:tcPr>
          <w:p>
            <w:pPr>
              <w:spacing w:after="0"/>
              <w:rPr>
                <w:sz w:val="6"/>
                <w:szCs w:val="6"/>
                <w:color w:val="auto"/>
              </w:rPr>
            </w:pPr>
          </w:p>
        </w:tc>
        <w:tc>
          <w:tcPr>
            <w:tcW w:w="180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5600" w:type="dxa"/>
            <w:vAlign w:val="bottom"/>
            <w:tcBorders>
              <w:left w:val="single" w:sz="8" w:color="3C3C3C"/>
              <w:right w:val="single" w:sz="8" w:color="3C3C3C"/>
            </w:tcBorders>
            <w:vMerge w:val="restart"/>
            <w:shd w:val="clear" w:color="auto" w:fill="3C3C3C"/>
          </w:tcPr>
          <w:p>
            <w:pPr>
              <w:ind w:left="100"/>
              <w:spacing w:after="0" w:line="157" w:lineRule="exact"/>
              <w:rPr>
                <w:sz w:val="20"/>
                <w:szCs w:val="20"/>
                <w:color w:val="auto"/>
              </w:rPr>
            </w:pPr>
            <w:r>
              <w:rPr>
                <w:rFonts w:ascii="Arial" w:cs="Arial" w:eastAsia="Arial" w:hAnsi="Arial"/>
                <w:sz w:val="14"/>
                <w:szCs w:val="14"/>
                <w:b w:val="1"/>
                <w:bCs w:val="1"/>
                <w:color w:val="FFFFFF"/>
              </w:rPr>
              <w:t>Named Executive Officer</w:t>
            </w:r>
          </w:p>
        </w:tc>
        <w:tc>
          <w:tcPr>
            <w:tcW w:w="1920" w:type="dxa"/>
            <w:vAlign w:val="bottom"/>
            <w:tcBorders>
              <w:right w:val="single" w:sz="8" w:color="3C3C3C"/>
            </w:tcBorders>
            <w:vMerge w:val="continue"/>
            <w:shd w:val="clear" w:color="auto" w:fill="3C3C3C"/>
          </w:tcPr>
          <w:p>
            <w:pPr>
              <w:spacing w:after="0"/>
              <w:rPr>
                <w:sz w:val="6"/>
                <w:szCs w:val="6"/>
                <w:color w:val="auto"/>
              </w:rPr>
            </w:pPr>
          </w:p>
        </w:tc>
        <w:tc>
          <w:tcPr>
            <w:tcW w:w="1920" w:type="dxa"/>
            <w:vAlign w:val="bottom"/>
            <w:tcBorders>
              <w:right w:val="single" w:sz="8" w:color="3C3C3C"/>
            </w:tcBorders>
            <w:vMerge w:val="restart"/>
            <w:shd w:val="clear" w:color="auto" w:fill="3C3C3C"/>
          </w:tcPr>
          <w:p>
            <w:pPr>
              <w:jc w:val="center"/>
              <w:ind w:right="66"/>
              <w:spacing w:after="0" w:line="157" w:lineRule="exact"/>
              <w:rPr>
                <w:sz w:val="20"/>
                <w:szCs w:val="20"/>
                <w:color w:val="auto"/>
              </w:rPr>
            </w:pPr>
            <w:r>
              <w:rPr>
                <w:rFonts w:ascii="Arial" w:cs="Arial" w:eastAsia="Arial" w:hAnsi="Arial"/>
                <w:sz w:val="14"/>
                <w:szCs w:val="14"/>
                <w:b w:val="1"/>
                <w:bCs w:val="1"/>
                <w:color w:val="FFFFFF"/>
                <w:w w:val="99"/>
              </w:rPr>
              <w:t>out for TSR Award</w:t>
            </w:r>
          </w:p>
        </w:tc>
        <w:tc>
          <w:tcPr>
            <w:tcW w:w="1800" w:type="dxa"/>
            <w:vAlign w:val="bottom"/>
            <w:vMerge w:val="restart"/>
            <w:shd w:val="clear" w:color="auto" w:fill="3C3C3C"/>
          </w:tcPr>
          <w:p>
            <w:pPr>
              <w:jc w:val="center"/>
              <w:spacing w:after="0" w:line="157" w:lineRule="exact"/>
              <w:rPr>
                <w:sz w:val="20"/>
                <w:szCs w:val="20"/>
                <w:color w:val="auto"/>
              </w:rPr>
            </w:pPr>
            <w:r>
              <w:rPr>
                <w:rFonts w:ascii="Arial" w:cs="Arial" w:eastAsia="Arial" w:hAnsi="Arial"/>
                <w:sz w:val="14"/>
                <w:szCs w:val="14"/>
                <w:b w:val="1"/>
                <w:bCs w:val="1"/>
                <w:color w:val="FFFFFF"/>
                <w:w w:val="99"/>
              </w:rPr>
              <w:t>Actually Paid out for 2023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5600" w:type="dxa"/>
            <w:vAlign w:val="bottom"/>
            <w:tcBorders>
              <w:left w:val="single" w:sz="8" w:color="3C3C3C"/>
              <w:right w:val="single" w:sz="8" w:color="3C3C3C"/>
            </w:tcBorders>
            <w:vMerge w:val="continue"/>
            <w:shd w:val="clear" w:color="auto" w:fill="3C3C3C"/>
          </w:tcPr>
          <w:p>
            <w:pPr>
              <w:spacing w:after="0"/>
              <w:rPr>
                <w:sz w:val="6"/>
                <w:szCs w:val="6"/>
                <w:color w:val="auto"/>
              </w:rPr>
            </w:pPr>
          </w:p>
        </w:tc>
        <w:tc>
          <w:tcPr>
            <w:tcW w:w="1920" w:type="dxa"/>
            <w:vAlign w:val="bottom"/>
            <w:tcBorders>
              <w:right w:val="single" w:sz="8" w:color="3C3C3C"/>
            </w:tcBorders>
            <w:vMerge w:val="restart"/>
            <w:shd w:val="clear" w:color="auto" w:fill="3C3C3C"/>
          </w:tcPr>
          <w:p>
            <w:pPr>
              <w:jc w:val="center"/>
              <w:ind w:right="87"/>
              <w:spacing w:after="0"/>
              <w:rPr>
                <w:sz w:val="20"/>
                <w:szCs w:val="20"/>
                <w:color w:val="auto"/>
              </w:rPr>
            </w:pPr>
            <w:r>
              <w:rPr>
                <w:rFonts w:ascii="Arial" w:cs="Arial" w:eastAsia="Arial" w:hAnsi="Arial"/>
                <w:sz w:val="14"/>
                <w:szCs w:val="14"/>
                <w:b w:val="1"/>
                <w:bCs w:val="1"/>
                <w:color w:val="FFFFFF"/>
                <w:w w:val="98"/>
              </w:rPr>
              <w:t>Performance</w:t>
            </w:r>
          </w:p>
        </w:tc>
        <w:tc>
          <w:tcPr>
            <w:tcW w:w="1920" w:type="dxa"/>
            <w:vAlign w:val="bottom"/>
            <w:tcBorders>
              <w:right w:val="single" w:sz="8" w:color="3C3C3C"/>
            </w:tcBorders>
            <w:vMerge w:val="continue"/>
            <w:shd w:val="clear" w:color="auto" w:fill="3C3C3C"/>
          </w:tcPr>
          <w:p>
            <w:pPr>
              <w:spacing w:after="0"/>
              <w:rPr>
                <w:sz w:val="6"/>
                <w:szCs w:val="6"/>
                <w:color w:val="auto"/>
              </w:rPr>
            </w:pPr>
          </w:p>
        </w:tc>
        <w:tc>
          <w:tcPr>
            <w:tcW w:w="180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5600" w:type="dxa"/>
            <w:vAlign w:val="bottom"/>
            <w:tcBorders>
              <w:left w:val="single" w:sz="8" w:color="3C3C3C"/>
              <w:right w:val="single" w:sz="8" w:color="3C3C3C"/>
            </w:tcBorders>
            <w:shd w:val="clear" w:color="auto" w:fill="3C3C3C"/>
          </w:tcPr>
          <w:p>
            <w:pPr>
              <w:spacing w:after="0"/>
              <w:rPr>
                <w:sz w:val="12"/>
                <w:szCs w:val="12"/>
                <w:color w:val="auto"/>
              </w:rPr>
            </w:pPr>
          </w:p>
        </w:tc>
        <w:tc>
          <w:tcPr>
            <w:tcW w:w="1920" w:type="dxa"/>
            <w:vAlign w:val="bottom"/>
            <w:tcBorders>
              <w:right w:val="single" w:sz="8" w:color="3C3C3C"/>
            </w:tcBorders>
            <w:vMerge w:val="continue"/>
            <w:shd w:val="clear" w:color="auto" w:fill="3C3C3C"/>
          </w:tcPr>
          <w:p>
            <w:pPr>
              <w:spacing w:after="0"/>
              <w:rPr>
                <w:sz w:val="12"/>
                <w:szCs w:val="12"/>
                <w:color w:val="auto"/>
              </w:rPr>
            </w:pPr>
          </w:p>
        </w:tc>
        <w:tc>
          <w:tcPr>
            <w:tcW w:w="1920" w:type="dxa"/>
            <w:vAlign w:val="bottom"/>
            <w:tcBorders>
              <w:right w:val="single" w:sz="8" w:color="3C3C3C"/>
            </w:tcBorders>
            <w:shd w:val="clear" w:color="auto" w:fill="3C3C3C"/>
          </w:tcPr>
          <w:p>
            <w:pPr>
              <w:jc w:val="center"/>
              <w:ind w:right="66"/>
              <w:spacing w:after="0" w:line="140" w:lineRule="exact"/>
              <w:rPr>
                <w:sz w:val="20"/>
                <w:szCs w:val="20"/>
                <w:color w:val="auto"/>
              </w:rPr>
            </w:pPr>
            <w:r>
              <w:rPr>
                <w:rFonts w:ascii="Arial" w:cs="Arial" w:eastAsia="Arial" w:hAnsi="Arial"/>
                <w:sz w:val="14"/>
                <w:szCs w:val="14"/>
                <w:b w:val="1"/>
                <w:bCs w:val="1"/>
                <w:color w:val="FFFFFF"/>
                <w:w w:val="98"/>
              </w:rPr>
              <w:t>(at Target)</w:t>
            </w:r>
            <w:r>
              <w:rPr>
                <w:rFonts w:ascii="Arial" w:cs="Arial" w:eastAsia="Arial" w:hAnsi="Arial"/>
                <w:sz w:val="9"/>
                <w:szCs w:val="9"/>
                <w:b w:val="1"/>
                <w:bCs w:val="1"/>
                <w:color w:val="FFFFFF"/>
                <w:w w:val="98"/>
              </w:rPr>
              <w:t>(1)</w:t>
            </w:r>
          </w:p>
        </w:tc>
        <w:tc>
          <w:tcPr>
            <w:tcW w:w="1800" w:type="dxa"/>
            <w:vAlign w:val="bottom"/>
            <w:shd w:val="clear" w:color="auto" w:fill="3C3C3C"/>
          </w:tcPr>
          <w:p>
            <w:pPr>
              <w:jc w:val="center"/>
              <w:spacing w:after="0" w:line="140" w:lineRule="exact"/>
              <w:rPr>
                <w:sz w:val="20"/>
                <w:szCs w:val="20"/>
                <w:color w:val="auto"/>
              </w:rPr>
            </w:pPr>
            <w:r>
              <w:rPr>
                <w:rFonts w:ascii="Arial" w:cs="Arial" w:eastAsia="Arial" w:hAnsi="Arial"/>
                <w:sz w:val="14"/>
                <w:szCs w:val="14"/>
                <w:b w:val="1"/>
                <w:bCs w:val="1"/>
                <w:color w:val="FFFFFF"/>
                <w:w w:val="99"/>
              </w:rPr>
              <w:t>Performance</w:t>
            </w:r>
            <w:r>
              <w:rPr>
                <w:rFonts w:ascii="Arial" w:cs="Arial" w:eastAsia="Arial" w:hAnsi="Arial"/>
                <w:sz w:val="9"/>
                <w:szCs w:val="9"/>
                <w:b w:val="1"/>
                <w:bCs w:val="1"/>
                <w:color w:val="FFFFFF"/>
                <w:w w:val="99"/>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600" w:type="dxa"/>
            <w:vAlign w:val="bottom"/>
            <w:tcBorders>
              <w:left w:val="single" w:sz="8" w:color="3C3C3C"/>
              <w:right w:val="single" w:sz="8" w:color="3C3C3C"/>
            </w:tcBorders>
            <w:shd w:val="clear" w:color="auto" w:fill="3C3C3C"/>
          </w:tcPr>
          <w:p>
            <w:pPr>
              <w:spacing w:after="0"/>
              <w:rPr>
                <w:sz w:val="13"/>
                <w:szCs w:val="13"/>
                <w:color w:val="auto"/>
              </w:rPr>
            </w:pPr>
          </w:p>
        </w:tc>
        <w:tc>
          <w:tcPr>
            <w:tcW w:w="1920" w:type="dxa"/>
            <w:vAlign w:val="bottom"/>
            <w:tcBorders>
              <w:right w:val="single" w:sz="8" w:color="3C3C3C"/>
            </w:tcBorders>
            <w:shd w:val="clear" w:color="auto" w:fill="3C3C3C"/>
          </w:tcPr>
          <w:p>
            <w:pPr>
              <w:jc w:val="center"/>
              <w:ind w:right="87"/>
              <w:spacing w:after="0" w:line="157" w:lineRule="exact"/>
              <w:rPr>
                <w:sz w:val="20"/>
                <w:szCs w:val="20"/>
                <w:color w:val="auto"/>
              </w:rPr>
            </w:pPr>
            <w:r>
              <w:rPr>
                <w:rFonts w:ascii="Arial" w:cs="Arial" w:eastAsia="Arial" w:hAnsi="Arial"/>
                <w:sz w:val="14"/>
                <w:szCs w:val="14"/>
                <w:b w:val="1"/>
                <w:bCs w:val="1"/>
                <w:color w:val="FFFFFF"/>
                <w:w w:val="99"/>
              </w:rPr>
              <w:t>(at Target)</w:t>
            </w:r>
          </w:p>
        </w:tc>
        <w:tc>
          <w:tcPr>
            <w:tcW w:w="1920" w:type="dxa"/>
            <w:vAlign w:val="bottom"/>
            <w:tcBorders>
              <w:right w:val="single" w:sz="8" w:color="3C3C3C"/>
            </w:tcBorders>
            <w:shd w:val="clear" w:color="auto" w:fill="3C3C3C"/>
          </w:tcPr>
          <w:p>
            <w:pPr>
              <w:spacing w:after="0"/>
              <w:rPr>
                <w:sz w:val="13"/>
                <w:szCs w:val="13"/>
                <w:color w:val="auto"/>
              </w:rPr>
            </w:pPr>
          </w:p>
        </w:tc>
        <w:tc>
          <w:tcPr>
            <w:tcW w:w="1800" w:type="dxa"/>
            <w:vAlign w:val="bottom"/>
            <w:shd w:val="clear" w:color="auto" w:fill="3C3C3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560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920" w:type="dxa"/>
            <w:vAlign w:val="bottom"/>
            <w:tcBorders>
              <w:right w:val="single" w:sz="8" w:color="7D7D7D"/>
            </w:tcBorders>
            <w:shd w:val="clear" w:color="auto" w:fill="FAF6EF"/>
          </w:tcPr>
          <w:p>
            <w:pPr>
              <w:jc w:val="center"/>
              <w:ind w:right="87"/>
              <w:spacing w:after="0"/>
              <w:rPr>
                <w:sz w:val="20"/>
                <w:szCs w:val="20"/>
                <w:color w:val="auto"/>
              </w:rPr>
            </w:pPr>
            <w:r>
              <w:rPr>
                <w:rFonts w:ascii="Arial" w:cs="Arial" w:eastAsia="Arial" w:hAnsi="Arial"/>
                <w:sz w:val="16"/>
                <w:szCs w:val="16"/>
                <w:color w:val="auto"/>
                <w:w w:val="98"/>
              </w:rPr>
              <w:t>13,200</w:t>
            </w:r>
          </w:p>
        </w:tc>
        <w:tc>
          <w:tcPr>
            <w:tcW w:w="1920" w:type="dxa"/>
            <w:vAlign w:val="bottom"/>
            <w:tcBorders>
              <w:right w:val="single" w:sz="8" w:color="7D7D7D"/>
            </w:tcBorders>
            <w:shd w:val="clear" w:color="auto" w:fill="FAF6EF"/>
          </w:tcPr>
          <w:p>
            <w:pPr>
              <w:jc w:val="center"/>
              <w:ind w:right="66"/>
              <w:spacing w:after="0"/>
              <w:rPr>
                <w:sz w:val="20"/>
                <w:szCs w:val="20"/>
                <w:color w:val="auto"/>
              </w:rPr>
            </w:pPr>
            <w:r>
              <w:rPr>
                <w:rFonts w:ascii="Arial" w:cs="Arial" w:eastAsia="Arial" w:hAnsi="Arial"/>
                <w:sz w:val="16"/>
                <w:szCs w:val="16"/>
                <w:color w:val="auto"/>
                <w:w w:val="97"/>
              </w:rPr>
              <w:t>N/A</w:t>
            </w:r>
          </w:p>
        </w:tc>
        <w:tc>
          <w:tcPr>
            <w:tcW w:w="18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13,200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60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920" w:type="dxa"/>
            <w:vAlign w:val="bottom"/>
            <w:tcBorders>
              <w:right w:val="single" w:sz="8" w:color="7D7D7D"/>
            </w:tcBorders>
          </w:tcPr>
          <w:p>
            <w:pPr>
              <w:jc w:val="center"/>
              <w:ind w:right="67"/>
              <w:spacing w:after="0"/>
              <w:rPr>
                <w:sz w:val="20"/>
                <w:szCs w:val="20"/>
                <w:color w:val="auto"/>
              </w:rPr>
            </w:pPr>
            <w:r>
              <w:rPr>
                <w:rFonts w:ascii="Arial" w:cs="Arial" w:eastAsia="Arial" w:hAnsi="Arial"/>
                <w:sz w:val="16"/>
                <w:szCs w:val="16"/>
                <w:color w:val="auto"/>
                <w:w w:val="94"/>
              </w:rPr>
              <w:t>4,290</w:t>
            </w:r>
          </w:p>
        </w:tc>
        <w:tc>
          <w:tcPr>
            <w:tcW w:w="1920" w:type="dxa"/>
            <w:vAlign w:val="bottom"/>
            <w:tcBorders>
              <w:right w:val="single" w:sz="8" w:color="7D7D7D"/>
            </w:tcBorders>
          </w:tcPr>
          <w:p>
            <w:pPr>
              <w:jc w:val="center"/>
              <w:ind w:right="66"/>
              <w:spacing w:after="0"/>
              <w:rPr>
                <w:sz w:val="20"/>
                <w:szCs w:val="20"/>
                <w:color w:val="auto"/>
              </w:rPr>
            </w:pPr>
            <w:r>
              <w:rPr>
                <w:rFonts w:ascii="Arial" w:cs="Arial" w:eastAsia="Arial" w:hAnsi="Arial"/>
                <w:sz w:val="16"/>
                <w:szCs w:val="16"/>
                <w:color w:val="auto"/>
                <w:w w:val="97"/>
              </w:rPr>
              <w:t>N/A</w:t>
            </w: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4,290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0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1920" w:type="dxa"/>
            <w:vAlign w:val="bottom"/>
            <w:tcBorders>
              <w:right w:val="single" w:sz="8" w:color="7D7D7D"/>
            </w:tcBorders>
            <w:shd w:val="clear" w:color="auto" w:fill="FAF6EF"/>
          </w:tcPr>
          <w:p>
            <w:pPr>
              <w:jc w:val="center"/>
              <w:ind w:right="67"/>
              <w:spacing w:after="0"/>
              <w:rPr>
                <w:sz w:val="20"/>
                <w:szCs w:val="20"/>
                <w:color w:val="auto"/>
              </w:rPr>
            </w:pPr>
            <w:r>
              <w:rPr>
                <w:rFonts w:ascii="Arial" w:cs="Arial" w:eastAsia="Arial" w:hAnsi="Arial"/>
                <w:sz w:val="16"/>
                <w:szCs w:val="16"/>
                <w:color w:val="auto"/>
                <w:w w:val="94"/>
              </w:rPr>
              <w:t>9,075</w:t>
            </w:r>
          </w:p>
        </w:tc>
        <w:tc>
          <w:tcPr>
            <w:tcW w:w="1920" w:type="dxa"/>
            <w:vAlign w:val="bottom"/>
            <w:tcBorders>
              <w:right w:val="single" w:sz="8" w:color="7D7D7D"/>
            </w:tcBorders>
            <w:shd w:val="clear" w:color="auto" w:fill="FAF6EF"/>
          </w:tcPr>
          <w:p>
            <w:pPr>
              <w:jc w:val="center"/>
              <w:ind w:right="66"/>
              <w:spacing w:after="0"/>
              <w:rPr>
                <w:sz w:val="20"/>
                <w:szCs w:val="20"/>
                <w:color w:val="auto"/>
              </w:rPr>
            </w:pPr>
            <w:r>
              <w:rPr>
                <w:rFonts w:ascii="Arial" w:cs="Arial" w:eastAsia="Arial" w:hAnsi="Arial"/>
                <w:sz w:val="16"/>
                <w:szCs w:val="16"/>
                <w:color w:val="auto"/>
                <w:w w:val="97"/>
              </w:rPr>
              <w:t>N/A</w:t>
            </w:r>
          </w:p>
        </w:tc>
        <w:tc>
          <w:tcPr>
            <w:tcW w:w="18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9,075</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76" w:lineRule="exact"/>
        <w:rPr>
          <w:sz w:val="20"/>
          <w:szCs w:val="20"/>
          <w:color w:val="auto"/>
        </w:rPr>
      </w:pPr>
    </w:p>
    <w:p>
      <w:pPr>
        <w:ind w:left="220" w:hanging="215"/>
        <w:spacing w:after="0"/>
        <w:tabs>
          <w:tab w:leader="none" w:pos="220" w:val="left"/>
        </w:tabs>
        <w:numPr>
          <w:ilvl w:val="0"/>
          <w:numId w:val="43"/>
        </w:numPr>
        <w:rPr>
          <w:rFonts w:ascii="Arial" w:cs="Arial" w:eastAsia="Arial" w:hAnsi="Arial"/>
          <w:sz w:val="14"/>
          <w:szCs w:val="14"/>
          <w:color w:val="7D7D7D"/>
        </w:rPr>
      </w:pPr>
      <w:r>
        <w:rPr>
          <w:rFonts w:ascii="Arial" w:cs="Arial" w:eastAsia="Arial" w:hAnsi="Arial"/>
          <w:sz w:val="14"/>
          <w:szCs w:val="14"/>
          <w:color w:val="7D7D7D"/>
        </w:rPr>
        <w:t>Relative TSR award is not eligible to vest until March 1, 2026.</w:t>
      </w:r>
    </w:p>
    <w:p>
      <w:pPr>
        <w:spacing w:after="0" w:line="48" w:lineRule="exact"/>
        <w:rPr>
          <w:sz w:val="20"/>
          <w:szCs w:val="20"/>
          <w:color w:val="auto"/>
        </w:rPr>
      </w:pPr>
    </w:p>
    <w:p>
      <w:pPr>
        <w:jc w:val="both"/>
        <w:ind w:left="240" w:right="20" w:hanging="235"/>
        <w:spacing w:after="0" w:line="270" w:lineRule="auto"/>
        <w:tabs>
          <w:tab w:leader="none" w:pos="226" w:val="left"/>
        </w:tabs>
        <w:numPr>
          <w:ilvl w:val="0"/>
          <w:numId w:val="44"/>
        </w:numPr>
        <w:rPr>
          <w:rFonts w:ascii="Arial" w:cs="Arial" w:eastAsia="Arial" w:hAnsi="Arial"/>
          <w:sz w:val="14"/>
          <w:szCs w:val="14"/>
          <w:color w:val="7D7D7D"/>
        </w:rPr>
      </w:pPr>
      <w:r>
        <w:rPr>
          <w:rFonts w:ascii="Arial" w:cs="Arial" w:eastAsia="Arial" w:hAnsi="Arial"/>
          <w:sz w:val="14"/>
          <w:szCs w:val="14"/>
          <w:color w:val="7D7D7D"/>
        </w:rPr>
        <w:t>Represents number of underlying PSUs actually received based on achievement of the 2023 Annual Smart CEO SMART Goals as described above. The Compensation Committee determined the achievement of the performance factors on January 25, 2024. As described above, our NEOs were awarded PSUs based on the level of achievement of the 2023 Annual CEO SMART Goals at 50% of target.</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Features of Our Executive Compensation Program</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Employment Offer Letters and Severance and Change in Control Benefits</w:t>
      </w:r>
    </w:p>
    <w:p>
      <w:pPr>
        <w:spacing w:after="0" w:line="125"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We have entered into offer letter agreements with each of our NEOs upon their initial commencement of employment with us. Each of our NEOs is employed at will and may be terminated at any time for any reason.</w:t>
      </w:r>
    </w:p>
    <w:p>
      <w:pPr>
        <w:spacing w:after="0" w:line="114"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Each of our NEOs is a participant in our Severance and Change in Control Benefit Plan (the “Severance Plan”), under which our NEOs are eligible to receive severance payments and benefits upon a termination of employment without “cause” or the resignation by a participant for “good reason” or upon such a termination in connection a change in control transaction. The adoption of the Severance Plan reflects our desire to have a consistent set of benefits across the executive team. The Compensation Committee considers these severance benefits critical to attracting and retaining high-caliber executives. Additionally, the Compensation Committee believes that additional change-in-control severance benefits minimize the distractions to an executive in connection with a corporate transaction and reduce the risk that an NEO departs our Company before a transaction is completed. We believe that the Severance Plan allows our NEOs to focus on continuing normal business operations and, in the case of change-in-control benefits, on the success of a potential business combination, rather than worry about how business decisions that may be in our best interest will impact their own financial security. The Compensation Committee periodically reviews the severance and change in control payments and benefits that we provide, including by reference to market data as appropriate, to ensure they remain appropriately structured and at reasonable levels.</w:t>
      </w:r>
    </w:p>
    <w:p>
      <w:pPr>
        <w:spacing w:after="0" w:line="137"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A more detailed description of the employment offer letters, the Severance Plan and each of our NEO’s payment and benefit levels thereunder and other severance and change in control payments and benefits is provided below under the section titled “Employment Contracts and Termination of Employment and Change of Control Arrangements.”</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54" w:right="319" w:bottom="1440" w:gutter="0" w:footer="0" w:header="0"/>
        </w:sectPr>
      </w:pPr>
    </w:p>
    <w:bookmarkStart w:id="49" w:name="page50"/>
    <w:bookmarkEnd w:id="49"/>
    <w:p>
      <w:pPr>
        <w:spacing w:after="0"/>
        <w:rPr>
          <w:sz w:val="20"/>
          <w:szCs w:val="20"/>
          <w:color w:val="auto"/>
        </w:rPr>
      </w:pPr>
      <w:r>
        <w:rPr>
          <w:rFonts w:ascii="Arial" w:cs="Arial" w:eastAsia="Arial" w:hAnsi="Arial"/>
          <w:sz w:val="21"/>
          <w:szCs w:val="21"/>
          <w:b w:val="1"/>
          <w:bCs w:val="1"/>
          <w:color w:val="auto"/>
        </w:rPr>
        <w:t>Stock Ownership Guidelines</w:t>
      </w:r>
    </w:p>
    <w:p>
      <w:pPr>
        <w:spacing w:after="0" w:line="125"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To help ensure a strong alignment between the interests of our executives and stockholders, in October 2022, we adopted Stock Ownership Guidelines for our directors and executive officers. We require our non-employee directors and our NEOs to have an equity ownership interest in accordance with the following schedule by the end of the calendar year that is three years after the later of (1) the October 22, 2022 effective date of the Stock Ownership Guidelines or (2) the date the individual becomes a non-employee director subject to these guidelines: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6160" w:type="dxa"/>
            <w:vAlign w:val="bottom"/>
            <w:tcBorders>
              <w:left w:val="single" w:sz="8" w:color="3C3C3C"/>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Title</w:t>
            </w:r>
          </w:p>
        </w:tc>
        <w:tc>
          <w:tcPr>
            <w:tcW w:w="508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Ownership Guideline Multiple of Annual Base Salary or Retainer</w:t>
            </w:r>
          </w:p>
        </w:tc>
        <w:tc>
          <w:tcPr>
            <w:tcW w:w="20" w:type="dxa"/>
            <w:vAlign w:val="bottom"/>
          </w:tcPr>
          <w:p>
            <w:pPr>
              <w:spacing w:after="0"/>
              <w:rPr>
                <w:sz w:val="19"/>
                <w:szCs w:val="19"/>
                <w:color w:val="auto"/>
              </w:rPr>
            </w:pPr>
          </w:p>
        </w:tc>
      </w:tr>
      <w:tr>
        <w:trPr>
          <w:trHeight w:val="235"/>
        </w:trPr>
        <w:tc>
          <w:tcPr>
            <w:tcW w:w="61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Directors</w:t>
            </w:r>
          </w:p>
        </w:tc>
        <w:tc>
          <w:tcPr>
            <w:tcW w:w="50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4"/>
              </w:rPr>
              <w:t>5x</w:t>
            </w:r>
          </w:p>
        </w:tc>
        <w:tc>
          <w:tcPr>
            <w:tcW w:w="20" w:type="dxa"/>
            <w:vAlign w:val="bottom"/>
            <w:shd w:val="clear" w:color="auto" w:fill="7D7D7D"/>
          </w:tcPr>
          <w:p>
            <w:pPr>
              <w:spacing w:after="0"/>
              <w:rPr>
                <w:sz w:val="20"/>
                <w:szCs w:val="20"/>
                <w:color w:val="auto"/>
              </w:rPr>
            </w:pPr>
          </w:p>
        </w:tc>
      </w:tr>
      <w:tr>
        <w:trPr>
          <w:trHeight w:val="232"/>
        </w:trPr>
        <w:tc>
          <w:tcPr>
            <w:tcW w:w="61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Chief Executive Officer</w:t>
            </w:r>
          </w:p>
        </w:tc>
        <w:tc>
          <w:tcPr>
            <w:tcW w:w="5080" w:type="dxa"/>
            <w:vAlign w:val="bottom"/>
          </w:tcPr>
          <w:p>
            <w:pPr>
              <w:jc w:val="center"/>
              <w:spacing w:after="0"/>
              <w:rPr>
                <w:sz w:val="20"/>
                <w:szCs w:val="20"/>
                <w:color w:val="auto"/>
              </w:rPr>
            </w:pPr>
            <w:r>
              <w:rPr>
                <w:rFonts w:ascii="Arial" w:cs="Arial" w:eastAsia="Arial" w:hAnsi="Arial"/>
                <w:sz w:val="16"/>
                <w:szCs w:val="16"/>
                <w:color w:val="auto"/>
                <w:w w:val="94"/>
              </w:rPr>
              <w:t>6x</w:t>
            </w:r>
          </w:p>
        </w:tc>
        <w:tc>
          <w:tcPr>
            <w:tcW w:w="20" w:type="dxa"/>
            <w:vAlign w:val="bottom"/>
            <w:shd w:val="clear" w:color="auto" w:fill="7D7D7D"/>
          </w:tcPr>
          <w:p>
            <w:pPr>
              <w:spacing w:after="0"/>
              <w:rPr>
                <w:sz w:val="20"/>
                <w:szCs w:val="20"/>
                <w:color w:val="auto"/>
              </w:rPr>
            </w:pPr>
          </w:p>
        </w:tc>
      </w:tr>
      <w:tr>
        <w:trPr>
          <w:trHeight w:val="239"/>
        </w:trPr>
        <w:tc>
          <w:tcPr>
            <w:tcW w:w="61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Chief Financial Officer</w:t>
            </w:r>
          </w:p>
        </w:tc>
        <w:tc>
          <w:tcPr>
            <w:tcW w:w="50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4"/>
              </w:rPr>
              <w:t>2x</w:t>
            </w:r>
          </w:p>
        </w:tc>
        <w:tc>
          <w:tcPr>
            <w:tcW w:w="20" w:type="dxa"/>
            <w:vAlign w:val="bottom"/>
            <w:shd w:val="clear" w:color="auto" w:fill="7D7D7D"/>
          </w:tcPr>
          <w:p>
            <w:pPr>
              <w:spacing w:after="0"/>
              <w:rPr>
                <w:sz w:val="20"/>
                <w:szCs w:val="20"/>
                <w:color w:val="auto"/>
              </w:rPr>
            </w:pPr>
          </w:p>
        </w:tc>
      </w:tr>
      <w:tr>
        <w:trPr>
          <w:trHeight w:val="235"/>
        </w:trPr>
        <w:tc>
          <w:tcPr>
            <w:tcW w:w="61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All other officers</w:t>
            </w:r>
          </w:p>
        </w:tc>
        <w:tc>
          <w:tcPr>
            <w:tcW w:w="5080" w:type="dxa"/>
            <w:vAlign w:val="bottom"/>
          </w:tcPr>
          <w:p>
            <w:pPr>
              <w:jc w:val="center"/>
              <w:spacing w:after="0"/>
              <w:rPr>
                <w:sz w:val="20"/>
                <w:szCs w:val="20"/>
                <w:color w:val="auto"/>
              </w:rPr>
            </w:pPr>
            <w:r>
              <w:rPr>
                <w:rFonts w:ascii="Arial" w:cs="Arial" w:eastAsia="Arial" w:hAnsi="Arial"/>
                <w:sz w:val="16"/>
                <w:szCs w:val="16"/>
                <w:color w:val="auto"/>
                <w:w w:val="94"/>
              </w:rPr>
              <w:t>2x</w:t>
            </w:r>
          </w:p>
        </w:tc>
        <w:tc>
          <w:tcPr>
            <w:tcW w:w="20" w:type="dxa"/>
            <w:vAlign w:val="bottom"/>
            <w:shd w:val="clear" w:color="auto" w:fill="7D7D7D"/>
          </w:tcPr>
          <w:p>
            <w:pPr>
              <w:spacing w:after="0"/>
              <w:rPr>
                <w:sz w:val="20"/>
                <w:szCs w:val="20"/>
                <w:color w:val="auto"/>
              </w:rPr>
            </w:pPr>
          </w:p>
        </w:tc>
      </w:tr>
    </w:tbl>
    <w:p>
      <w:pPr>
        <w:spacing w:after="0" w:line="354"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As of December 31, 2023, each of our NEOs had achieved his or her required ownership level, and each of our non-employee directors had achieved his or her required ownership level.</w:t>
      </w:r>
    </w:p>
    <w:p>
      <w:pPr>
        <w:spacing w:after="0" w:line="11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following shares of our common stock are included in the calculation of each individual’s stock ownership, whether or not purchased on the open market or obtained through the exercise of stock options or the vesting of equity awards granted by us to such individual:</w:t>
      </w:r>
    </w:p>
    <w:p>
      <w:pPr>
        <w:spacing w:after="0" w:line="127" w:lineRule="exact"/>
        <w:rPr>
          <w:sz w:val="20"/>
          <w:szCs w:val="20"/>
          <w:color w:val="auto"/>
        </w:rPr>
      </w:pPr>
    </w:p>
    <w:p>
      <w:pPr>
        <w:ind w:left="320" w:right="120" w:hanging="159"/>
        <w:spacing w:after="0" w:line="318" w:lineRule="auto"/>
        <w:tabs>
          <w:tab w:leader="none" w:pos="297" w:val="left"/>
        </w:tabs>
        <w:numPr>
          <w:ilvl w:val="0"/>
          <w:numId w:val="45"/>
        </w:numPr>
        <w:rPr>
          <w:rFonts w:ascii="Arial" w:cs="Arial" w:eastAsia="Arial" w:hAnsi="Arial"/>
          <w:sz w:val="12"/>
          <w:szCs w:val="12"/>
          <w:color w:val="auto"/>
        </w:rPr>
      </w:pPr>
      <w:r>
        <w:rPr>
          <w:rFonts w:ascii="Arial" w:cs="Arial" w:eastAsia="Arial" w:hAnsi="Arial"/>
          <w:sz w:val="16"/>
          <w:szCs w:val="16"/>
          <w:color w:val="auto"/>
        </w:rPr>
        <w:t>shares owned outright and by members of his or her immediate family (as defined in Rule 16a-1(e) under the Securities Exchange Act of 1934, as amended) (a “Family Member”);</w:t>
      </w:r>
    </w:p>
    <w:p>
      <w:pPr>
        <w:spacing w:after="0" w:line="9" w:lineRule="exact"/>
        <w:rPr>
          <w:rFonts w:ascii="Arial" w:cs="Arial" w:eastAsia="Arial" w:hAnsi="Arial"/>
          <w:sz w:val="12"/>
          <w:szCs w:val="12"/>
          <w:color w:val="auto"/>
        </w:rPr>
      </w:pPr>
    </w:p>
    <w:p>
      <w:pPr>
        <w:ind w:left="300" w:hanging="139"/>
        <w:spacing w:after="0"/>
        <w:tabs>
          <w:tab w:leader="none" w:pos="300" w:val="left"/>
        </w:tabs>
        <w:numPr>
          <w:ilvl w:val="0"/>
          <w:numId w:val="45"/>
        </w:numPr>
        <w:rPr>
          <w:rFonts w:ascii="Arial" w:cs="Arial" w:eastAsia="Arial" w:hAnsi="Arial"/>
          <w:sz w:val="12"/>
          <w:szCs w:val="12"/>
          <w:color w:val="auto"/>
        </w:rPr>
      </w:pPr>
      <w:r>
        <w:rPr>
          <w:rFonts w:ascii="Arial" w:cs="Arial" w:eastAsia="Arial" w:hAnsi="Arial"/>
          <w:sz w:val="16"/>
          <w:szCs w:val="16"/>
          <w:color w:val="auto"/>
        </w:rPr>
        <w:t>shares held in trust for the benefit of such individual, or for the benefit of a Family Member of such individual;</w:t>
      </w:r>
    </w:p>
    <w:p>
      <w:pPr>
        <w:spacing w:after="0" w:line="90" w:lineRule="exact"/>
        <w:rPr>
          <w:rFonts w:ascii="Arial" w:cs="Arial" w:eastAsia="Arial" w:hAnsi="Arial"/>
          <w:sz w:val="12"/>
          <w:szCs w:val="12"/>
          <w:color w:val="auto"/>
        </w:rPr>
      </w:pPr>
    </w:p>
    <w:p>
      <w:pPr>
        <w:ind w:left="320" w:right="380" w:hanging="159"/>
        <w:spacing w:after="0" w:line="295" w:lineRule="auto"/>
        <w:tabs>
          <w:tab w:leader="none" w:pos="297" w:val="left"/>
        </w:tabs>
        <w:numPr>
          <w:ilvl w:val="0"/>
          <w:numId w:val="45"/>
        </w:numPr>
        <w:rPr>
          <w:rFonts w:ascii="Arial" w:cs="Arial" w:eastAsia="Arial" w:hAnsi="Arial"/>
          <w:sz w:val="12"/>
          <w:szCs w:val="12"/>
          <w:color w:val="auto"/>
        </w:rPr>
      </w:pPr>
      <w:r>
        <w:rPr>
          <w:rFonts w:ascii="Arial" w:cs="Arial" w:eastAsia="Arial" w:hAnsi="Arial"/>
          <w:sz w:val="16"/>
          <w:szCs w:val="16"/>
          <w:color w:val="auto"/>
        </w:rPr>
        <w:t>shares owed by an entity for which such individual serves as a partner or is otherwise materially affiliated with (as determined in the sole discretion of the Board), if such entity beneficially owns 2% or more of the outstanding shares of Enphase (as determined in accordance with applicable SEC rules and regulations);</w:t>
      </w:r>
    </w:p>
    <w:p>
      <w:pPr>
        <w:spacing w:after="0" w:line="27" w:lineRule="exact"/>
        <w:rPr>
          <w:rFonts w:ascii="Arial" w:cs="Arial" w:eastAsia="Arial" w:hAnsi="Arial"/>
          <w:sz w:val="12"/>
          <w:szCs w:val="12"/>
          <w:color w:val="auto"/>
        </w:rPr>
      </w:pPr>
    </w:p>
    <w:p>
      <w:pPr>
        <w:ind w:left="300" w:hanging="139"/>
        <w:spacing w:after="0"/>
        <w:tabs>
          <w:tab w:leader="none" w:pos="300" w:val="left"/>
        </w:tabs>
        <w:numPr>
          <w:ilvl w:val="0"/>
          <w:numId w:val="45"/>
        </w:numPr>
        <w:rPr>
          <w:rFonts w:ascii="Arial" w:cs="Arial" w:eastAsia="Arial" w:hAnsi="Arial"/>
          <w:sz w:val="12"/>
          <w:szCs w:val="12"/>
          <w:color w:val="auto"/>
        </w:rPr>
      </w:pPr>
      <w:r>
        <w:rPr>
          <w:rFonts w:ascii="Arial" w:cs="Arial" w:eastAsia="Arial" w:hAnsi="Arial"/>
          <w:sz w:val="16"/>
          <w:szCs w:val="16"/>
          <w:color w:val="auto"/>
        </w:rPr>
        <w:t>vested shares under any outstanding RSU awards; and</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45"/>
        </w:numPr>
        <w:rPr>
          <w:rFonts w:ascii="Arial" w:cs="Arial" w:eastAsia="Arial" w:hAnsi="Arial"/>
          <w:sz w:val="12"/>
          <w:szCs w:val="12"/>
          <w:color w:val="auto"/>
        </w:rPr>
      </w:pPr>
      <w:r>
        <w:rPr>
          <w:rFonts w:ascii="Arial" w:cs="Arial" w:eastAsia="Arial" w:hAnsi="Arial"/>
          <w:sz w:val="16"/>
          <w:szCs w:val="16"/>
          <w:color w:val="auto"/>
        </w:rPr>
        <w:t>vested shares under any deferred compensation plan.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provided above, unvested equity awards and unexercised options do not count toward compliance.</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Equity Awards and Grant Administration</w:t>
      </w:r>
    </w:p>
    <w:p>
      <w:pPr>
        <w:spacing w:after="0" w:line="139"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The Board has designated the Compensation Committee as the administrator of our 2021 Equity Incentive Plan (the “2021 Plan”). The Compensation Committee, among other things, selects award recipients under the 2021 Plan, approves the form of grant agreements, determines the terms and restrictions applicable to the equity awards and adopts sub-plans for particular locations, if and as required.</w:t>
      </w:r>
    </w:p>
    <w:p>
      <w:pPr>
        <w:spacing w:after="0" w:line="132"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In accordance with the 2021 Plan, the Compensation Committee has delegated to our CEO the authority to approve a capped number of routine equity grants to new hires and consultants. Equity awards approved by the CEO are granted on or about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(or first trading day thereafter) of each month.</w:t>
      </w:r>
    </w:p>
    <w:p>
      <w:pPr>
        <w:spacing w:after="0" w:line="4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Because we believe equity awards are an important part of our compensation program, we also grant equity awards on an annual basis to eligible employees, including our NEOs. The Compensation Committee generally approves these annual equity grants in the first quarter of each year for the NEOs and certain other key employees, and in the third quarter of each year for all other eligible employees. In addition, the Compensation Committee may consider additional grants to key employees for retention purposes on an ad hoc basis.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We did not make any awards of stock options in 2023.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54" w:right="319" w:bottom="1440" w:gutter="0" w:footer="0" w:header="0"/>
        </w:sectPr>
      </w:pPr>
    </w:p>
    <w:bookmarkStart w:id="50" w:name="page51"/>
    <w:bookmarkEnd w:id="50"/>
    <w:p>
      <w:pPr>
        <w:spacing w:after="0"/>
        <w:rPr>
          <w:sz w:val="20"/>
          <w:szCs w:val="20"/>
          <w:color w:val="auto"/>
        </w:rPr>
      </w:pPr>
      <w:r>
        <w:rPr>
          <w:rFonts w:ascii="Arial" w:cs="Arial" w:eastAsia="Arial" w:hAnsi="Arial"/>
          <w:sz w:val="21"/>
          <w:szCs w:val="21"/>
          <w:b w:val="1"/>
          <w:bCs w:val="1"/>
          <w:color w:val="auto"/>
        </w:rPr>
        <w:t>401(k) Plan, ESPP, Welfare and Health Benefits</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maintain a tax-qualified retirement plan that provides eligible U.S. employees, including our NEOs, with an opportunity to save for retirement on a tax-advantaged basis. Eligible employees may make voluntary contributions from their eligible pay, up to certain annual limits set by the Internal Revenue Code of 1986, as amended (the “Code”). In 2023, we used a matching formula for all participants in the 401(k) plan, including our NEOs, under which we matched $0.50 for each dollar contributed by a participant up to the first 6% of the participant’s deferral, to a maximum of $3,000 annually. The 401(k) plan is intended to be qualified under Section 401(a) of the Code with the 401(k) plan’s related trust intended to be tax exempt under Section 501(a) of the Code.</w:t>
      </w:r>
    </w:p>
    <w:p>
      <w:pPr>
        <w:spacing w:after="0" w:line="13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also offer our employees, including our NEOs, the opportunity to purchase shares of our common stock at a discount under our 2011 Employee Stock Purchase Plan (the “ESPP”). Under the ESPP, all eligible employees, including the NEOs, may allocate up to 15% of total compensation for that year to purchase our stock at a 15% discount to the market price, subject to specified limits.</w:t>
      </w:r>
    </w:p>
    <w:p>
      <w:pPr>
        <w:spacing w:after="0" w:line="12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addition, we provide other benefits to our NEOs, on the same basis as to all of our full-time employees. These benefits include medical, dental and vision insurance plans, medical and dependent care flexible spending accounts, group life, short-term and long-term disability and accidental death and dismemberment insurance plans.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Perquisites and Other Personal Benefits</w:t>
      </w:r>
    </w:p>
    <w:p>
      <w:pPr>
        <w:spacing w:after="0" w:line="12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Historically, we have not provided perquisites or other personal benefits to our NEOs. However, in the future we may provide such items in limited circumstances, such as when we believe it is appropriate to assist an individual in the performance of their duties, to make our executives more efficient and effective, and to recruit, motivate or retain executives. All future practices with respect to perquisites or other personal benefits for executives must be approved and subject to periodic review by the Compensation Committee.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 and Accounting Implications</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Accounting for Stock-Based Compensation</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Under ASC 718, we are required to estimate and record an expense for each award of equity compensation over the vesting period of the award. We record share-based compensation expense on an ongoing basis according to ASC 718.</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Deductibility of Executive Compensation</w:t>
      </w:r>
    </w:p>
    <w:p>
      <w:pPr>
        <w:spacing w:after="0" w:line="12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Section 162(m) of the Code generally places a $1 million annual deduction limit on compensation paid to “covered employees,” which includes our NEOs. The Compensation Committee makes compensation decisions based on our overall compensation philosophy and the interests of stockholders, even if such compensation is non-deductible by Enphase.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Compensation Policies and Practices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Clawback Policy</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October 2, 2023, the Compensation Committee approved a new Executive Compensation Clawback Policy (the “Required Clawback Policy”), which is designed to comply with, and will be interpreted in a manner consistent with, Section 10D of the Exchange Act and the applicable Nasdaq rules. Under the Required Clawback Policy, in the event of an accounting restatement due to our material noncompliance with any financial reporting requirement under applicable securities laws, including any required accounting restatement to correct a material error in previously issued financial statements, or that would result in a material misstatement if the error was corrected in the current period or left uncorrected in the current period, we must recover erroneously awarded performance-based compensation previously paid to our executive officers in accordance with the terms of the Required Clawback Policy. Furthermore, under the Required Clawback Policy, we are prohibited from indemnifying any executive officer or former executive officer against the loss of erroneously awarded performance-based compensation and from paying or reimbursing an executive officer for purchasing insurance to cover any such loss.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1" w:name="page52"/>
    <w:bookmarkEnd w:id="51"/>
    <w:p>
      <w:pPr>
        <w:jc w:val="both"/>
        <w:spacing w:after="0" w:line="310" w:lineRule="auto"/>
        <w:rPr>
          <w:sz w:val="20"/>
          <w:szCs w:val="20"/>
          <w:color w:val="auto"/>
        </w:rPr>
      </w:pPr>
      <w:r>
        <w:rPr>
          <w:rFonts w:ascii="Arial" w:cs="Arial" w:eastAsia="Arial" w:hAnsi="Arial"/>
          <w:sz w:val="15"/>
          <w:szCs w:val="15"/>
          <w:color w:val="auto"/>
        </w:rPr>
        <w:t>In addition, we also maintain clawback provisions that apply to all employees, including our NEOs, that receive equity awards under the 2023 PSP that allows the Board to recover any incentive-based compensation that was paid based on erroneous financial information reported under securities laws. Specifically, we may recoup any incentive compensation from any employee in the 2023 PSP if: (i) the employee engages in intentional misconduct pertaining to any financial reporting policy; (ii) there is a material negative revision of a financial or operating measure on the basis of which incentive compensation was awarded or paid to the employee; or (iii) the employee engages in any fraud, theft, misappropriation, embezzlement or dishonesty. Any recoupment will be made irrespective of whether the employee’s conduct contributed to the need for the restatement and/or revision. If triggered, to the fullest extent permitted by law we may require the employee to reimburse us for all or a portion of any incentive compensation received within the last 12 months from the date that the erroneous financial information was reported. The employee may also be required to remit to us any profits realized from the sale of our common stock within the last 12 months from the date the erroneous financial data was reported. The clawback amount will be calculated as the excess amount paid on the basis of the erroneous results.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Policy Prohibiting Hedging and Pledging of Our Equity Securities</w:t>
      </w:r>
    </w:p>
    <w:p>
      <w:pPr>
        <w:spacing w:after="0" w:line="12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insider trading policy prohibits our NEOs and directors from engaging in short sales, transactions in put or call options, hedging transactions, pledges, or other inherently speculative transactions relating to our common stock. In addition, our directors, NEOs and any person required to comply with the blackout periods and pre-clearance requirements under our insider trading policy are prohibited from pledging our securities as collateral for loans and may not hold our securities in margin accounts unless permitted by the Clearing Officer with the approval of the Chair of the Board, Chair of the Audit Committee, or the Board .</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Consistent with the terms of our insider trading policy, Thurman John Rodgers has received permission to use our securities on an ongoing basis to secure a margin account(s), and Badri Kothandaraman has received permission to use our securities as collateral to secure a credit line.</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Analysis of Risks Presented by Our Compensation Policies and Programs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Compensation Committee has reviewed our compensation policies and practices, in consultation with outside counsel, to assess whether they encourage employees to take inappropriate risks. After reviewing and assessing our compensation philosophy, terms and practices, including the mix of fixed and variable, short- and long-term incentives and overall pay, incentive plan structures, and the checks and balances built into, and oversight of, each plan and practice, the Compensation Committee determined that any risks arising from our compensation policies and practices for our employees are not reasonably likely to have a material adverse effect on our Company as a whole. The Compensation Committee believes that the mix and design of the elements of executive compensation do not encourage management to assume excessive risks; rather, it believes the mix of short-term compensation (in the form of salary and quarterly bonuses, if any, which are based on a variety of performance factors) and long-term compensation (in the form of stock options or RSU grants) prevents undue focus on short-term results and helps align the interests of our NEOs with the interests of our stockholders. In addition, our insider trading policy and prohibition against hedging and pledging of our stock protects against short-term decision making by our NEOs, directors and others identified as covered insiders under our insider trading policy. The Compensation Committee intends to conduct an annual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2" w:name="page53"/>
    <w:bookmarkEnd w:id="52"/>
    <w:p>
      <w:pPr>
        <w:spacing w:after="0"/>
        <w:rPr>
          <w:sz w:val="20"/>
          <w:szCs w:val="20"/>
          <w:color w:val="auto"/>
        </w:rPr>
      </w:pPr>
      <w:r>
        <w:rPr>
          <w:rFonts w:ascii="Arial" w:cs="Arial" w:eastAsia="Arial" w:hAnsi="Arial"/>
          <w:sz w:val="31"/>
          <w:szCs w:val="31"/>
          <w:b w:val="1"/>
          <w:bCs w:val="1"/>
          <w:color w:val="auto"/>
        </w:rPr>
        <w:t>Compensation Committee Report*</w:t>
      </w:r>
    </w:p>
    <w:p>
      <w:pPr>
        <w:spacing w:after="0" w:line="26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Compensation Committee of the Board has reviewed and discussed the Compensation Discussion and Analysis required by Item 402(b) of Regulation S-K with management and, based on such review and discussions, the Compensation Committee of the Board recommended to the Board that the Compensation Discussion and Analysis be included in this Proxy Statement.</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Committee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Thurman John Rodgers, Chair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Richard Mora, Member</w:t>
      </w:r>
    </w:p>
    <w:p>
      <w:pPr>
        <w:spacing w:after="0" w:line="200" w:lineRule="exact"/>
        <w:rPr>
          <w:sz w:val="20"/>
          <w:szCs w:val="20"/>
          <w:color w:val="auto"/>
        </w:rPr>
      </w:pPr>
    </w:p>
    <w:p>
      <w:pPr>
        <w:spacing w:after="0" w:line="3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material in this report is not “soliciting material,” is furnished to, but not deemed “filed” with, the SEC and is not deemed to be incorporated by reference in any of our filings under the Securities Act of 1933, as amended (the “Securities Act”), or the Exchange Act, other than our Annual Report on Form 10-K for the fiscal year ended December 31, 2023 as filed with the SEC on February 9, 2024,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53" w:name="page54"/>
    <w:bookmarkEnd w:id="53"/>
    <w:p>
      <w:pPr>
        <w:spacing w:after="0"/>
        <w:rPr>
          <w:sz w:val="20"/>
          <w:szCs w:val="20"/>
          <w:color w:val="auto"/>
        </w:rPr>
      </w:pPr>
      <w:r>
        <w:rPr>
          <w:rFonts w:ascii="Arial" w:cs="Arial" w:eastAsia="Arial" w:hAnsi="Arial"/>
          <w:sz w:val="42"/>
          <w:szCs w:val="42"/>
          <w:b w:val="1"/>
          <w:bCs w:val="1"/>
          <w:color w:val="auto"/>
        </w:rPr>
        <w:t>Executive Compensation Tables</w:t>
      </w:r>
    </w:p>
    <w:p>
      <w:pPr>
        <w:spacing w:after="0" w:line="31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Summary Compensation Table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footnotes show information regarding the total compensation of each NEO for 2023, 2022 and 2021.</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56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 and Principal Position</w:t>
            </w:r>
          </w:p>
        </w:tc>
        <w:tc>
          <w:tcPr>
            <w:tcW w:w="80" w:type="dxa"/>
            <w:vAlign w:val="bottom"/>
            <w:shd w:val="clear" w:color="auto" w:fill="3C3C3C"/>
          </w:tcPr>
          <w:p>
            <w:pPr>
              <w:spacing w:after="0"/>
              <w:rPr>
                <w:sz w:val="16"/>
                <w:szCs w:val="16"/>
                <w:color w:val="auto"/>
              </w:rPr>
            </w:pPr>
          </w:p>
        </w:tc>
        <w:tc>
          <w:tcPr>
            <w:tcW w:w="6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2"/>
              </w:rPr>
              <w:t>Year</w:t>
            </w:r>
          </w:p>
        </w:tc>
        <w:tc>
          <w:tcPr>
            <w:tcW w:w="120" w:type="dxa"/>
            <w:vAlign w:val="bottom"/>
            <w:tcBorders>
              <w:right w:val="single" w:sz="8" w:color="3C3C3C"/>
            </w:tcBorders>
            <w:shd w:val="clear" w:color="auto" w:fill="3C3C3C"/>
          </w:tcPr>
          <w:p>
            <w:pPr>
              <w:spacing w:after="0"/>
              <w:rPr>
                <w:sz w:val="16"/>
                <w:szCs w:val="16"/>
                <w:color w:val="auto"/>
              </w:rPr>
            </w:pPr>
          </w:p>
        </w:tc>
        <w:tc>
          <w:tcPr>
            <w:tcW w:w="1120" w:type="dxa"/>
            <w:vAlign w:val="bottom"/>
            <w:tcBorders>
              <w:right w:val="single" w:sz="8" w:color="3C3C3C"/>
            </w:tcBorders>
            <w:vMerge w:val="restart"/>
            <w:shd w:val="clear" w:color="auto" w:fill="3C3C3C"/>
          </w:tcPr>
          <w:p>
            <w:pPr>
              <w:jc w:val="center"/>
              <w:ind w:right="62"/>
              <w:spacing w:after="0"/>
              <w:rPr>
                <w:sz w:val="20"/>
                <w:szCs w:val="20"/>
                <w:color w:val="auto"/>
              </w:rPr>
            </w:pPr>
            <w:r>
              <w:rPr>
                <w:rFonts w:ascii="Arial" w:cs="Arial" w:eastAsia="Arial" w:hAnsi="Arial"/>
                <w:sz w:val="14"/>
                <w:szCs w:val="14"/>
                <w:b w:val="1"/>
                <w:bCs w:val="1"/>
                <w:color w:val="FFFFFF"/>
                <w:w w:val="99"/>
              </w:rPr>
              <w:t>Salary</w:t>
            </w:r>
          </w:p>
        </w:tc>
        <w:tc>
          <w:tcPr>
            <w:tcW w:w="920" w:type="dxa"/>
            <w:vAlign w:val="bottom"/>
            <w:tcBorders>
              <w:right w:val="single" w:sz="8" w:color="3C3C3C"/>
            </w:tcBorders>
            <w:vMerge w:val="restart"/>
            <w:shd w:val="clear" w:color="auto" w:fill="3C3C3C"/>
          </w:tcPr>
          <w:p>
            <w:pPr>
              <w:jc w:val="right"/>
              <w:ind w:right="243"/>
              <w:spacing w:after="0"/>
              <w:rPr>
                <w:sz w:val="20"/>
                <w:szCs w:val="20"/>
                <w:color w:val="auto"/>
              </w:rPr>
            </w:pPr>
            <w:r>
              <w:rPr>
                <w:rFonts w:ascii="Arial" w:cs="Arial" w:eastAsia="Arial" w:hAnsi="Arial"/>
                <w:sz w:val="14"/>
                <w:szCs w:val="14"/>
                <w:b w:val="1"/>
                <w:bCs w:val="1"/>
                <w:color w:val="FFFFFF"/>
              </w:rPr>
              <w:t>Bonus</w:t>
            </w:r>
          </w:p>
        </w:tc>
        <w:tc>
          <w:tcPr>
            <w:tcW w:w="1500" w:type="dxa"/>
            <w:vAlign w:val="bottom"/>
            <w:tcBorders>
              <w:right w:val="single" w:sz="8" w:color="3C3C3C"/>
            </w:tcBorders>
            <w:vMerge w:val="restart"/>
            <w:shd w:val="clear" w:color="auto" w:fill="3C3C3C"/>
          </w:tcPr>
          <w:p>
            <w:pPr>
              <w:jc w:val="right"/>
              <w:ind w:right="286"/>
              <w:spacing w:after="0"/>
              <w:rPr>
                <w:sz w:val="20"/>
                <w:szCs w:val="20"/>
                <w:color w:val="auto"/>
              </w:rPr>
            </w:pPr>
            <w:r>
              <w:rPr>
                <w:rFonts w:ascii="Arial" w:cs="Arial" w:eastAsia="Arial" w:hAnsi="Arial"/>
                <w:sz w:val="14"/>
                <w:szCs w:val="14"/>
                <w:b w:val="1"/>
                <w:bCs w:val="1"/>
                <w:color w:val="FFFFFF"/>
              </w:rPr>
              <w:t>Stock Awards</w:t>
            </w:r>
          </w:p>
        </w:tc>
        <w:tc>
          <w:tcPr>
            <w:tcW w:w="1560" w:type="dxa"/>
            <w:vAlign w:val="bottom"/>
            <w:tcBorders>
              <w:right w:val="single" w:sz="8" w:color="3C3C3C"/>
            </w:tcBorders>
            <w:shd w:val="clear" w:color="auto" w:fill="3C3C3C"/>
          </w:tcPr>
          <w:p>
            <w:pPr>
              <w:jc w:val="center"/>
              <w:ind w:right="63"/>
              <w:spacing w:after="0"/>
              <w:rPr>
                <w:sz w:val="20"/>
                <w:szCs w:val="20"/>
                <w:color w:val="auto"/>
              </w:rPr>
            </w:pPr>
            <w:r>
              <w:rPr>
                <w:rFonts w:ascii="Arial" w:cs="Arial" w:eastAsia="Arial" w:hAnsi="Arial"/>
                <w:sz w:val="14"/>
                <w:szCs w:val="14"/>
                <w:b w:val="1"/>
                <w:bCs w:val="1"/>
                <w:color w:val="FFFFFF"/>
                <w:w w:val="99"/>
              </w:rPr>
              <w:t>Non-Equity Incentive</w:t>
            </w:r>
          </w:p>
        </w:tc>
        <w:tc>
          <w:tcPr>
            <w:tcW w:w="1500" w:type="dxa"/>
            <w:vAlign w:val="bottom"/>
            <w:tcBorders>
              <w:right w:val="single" w:sz="8" w:color="3C3C3C"/>
            </w:tcBorders>
            <w:shd w:val="clear" w:color="auto" w:fill="3C3C3C"/>
          </w:tcPr>
          <w:p>
            <w:pPr>
              <w:jc w:val="center"/>
              <w:ind w:right="85"/>
              <w:spacing w:after="0"/>
              <w:rPr>
                <w:sz w:val="20"/>
                <w:szCs w:val="20"/>
                <w:color w:val="auto"/>
              </w:rPr>
            </w:pPr>
            <w:r>
              <w:rPr>
                <w:rFonts w:ascii="Arial" w:cs="Arial" w:eastAsia="Arial" w:hAnsi="Arial"/>
                <w:sz w:val="14"/>
                <w:szCs w:val="14"/>
                <w:b w:val="1"/>
                <w:bCs w:val="1"/>
                <w:color w:val="FFFFFF"/>
                <w:w w:val="98"/>
              </w:rPr>
              <w:t>All Other</w:t>
            </w:r>
          </w:p>
        </w:tc>
        <w:tc>
          <w:tcPr>
            <w:tcW w:w="1280" w:type="dxa"/>
            <w:vAlign w:val="bottom"/>
            <w:vMerge w:val="restart"/>
            <w:shd w:val="clear" w:color="auto" w:fill="3C3C3C"/>
          </w:tcPr>
          <w:p>
            <w:pPr>
              <w:ind w:left="460"/>
              <w:spacing w:after="0"/>
              <w:rPr>
                <w:sz w:val="20"/>
                <w:szCs w:val="20"/>
                <w:color w:val="auto"/>
              </w:rPr>
            </w:pPr>
            <w:r>
              <w:rPr>
                <w:rFonts w:ascii="Arial" w:cs="Arial" w:eastAsia="Arial" w:hAnsi="Arial"/>
                <w:sz w:val="14"/>
                <w:szCs w:val="14"/>
                <w:b w:val="1"/>
                <w:bCs w:val="1"/>
                <w:color w:val="FFFFFF"/>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560" w:type="dxa"/>
            <w:vAlign w:val="bottom"/>
            <w:tcBorders>
              <w:left w:val="single" w:sz="8" w:color="3C3C3C"/>
              <w:right w:val="single" w:sz="8" w:color="3C3C3C"/>
            </w:tcBorders>
            <w:vMerge w:val="continue"/>
            <w:shd w:val="clear" w:color="auto" w:fill="3C3C3C"/>
          </w:tcPr>
          <w:p>
            <w:pPr>
              <w:spacing w:after="0"/>
              <w:rPr>
                <w:sz w:val="6"/>
                <w:szCs w:val="6"/>
                <w:color w:val="auto"/>
              </w:rPr>
            </w:pPr>
          </w:p>
        </w:tc>
        <w:tc>
          <w:tcPr>
            <w:tcW w:w="80" w:type="dxa"/>
            <w:vAlign w:val="bottom"/>
            <w:shd w:val="clear" w:color="auto" w:fill="3C3C3C"/>
          </w:tcPr>
          <w:p>
            <w:pPr>
              <w:spacing w:after="0"/>
              <w:rPr>
                <w:sz w:val="6"/>
                <w:szCs w:val="6"/>
                <w:color w:val="auto"/>
              </w:rPr>
            </w:pPr>
          </w:p>
        </w:tc>
        <w:tc>
          <w:tcPr>
            <w:tcW w:w="600" w:type="dxa"/>
            <w:vAlign w:val="bottom"/>
            <w:vMerge w:val="continue"/>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120" w:type="dxa"/>
            <w:vAlign w:val="bottom"/>
            <w:tcBorders>
              <w:right w:val="single" w:sz="8" w:color="3C3C3C"/>
            </w:tcBorders>
            <w:vMerge w:val="continue"/>
            <w:shd w:val="clear" w:color="auto" w:fill="3C3C3C"/>
          </w:tcPr>
          <w:p>
            <w:pPr>
              <w:spacing w:after="0"/>
              <w:rPr>
                <w:sz w:val="6"/>
                <w:szCs w:val="6"/>
                <w:color w:val="auto"/>
              </w:rPr>
            </w:pPr>
          </w:p>
        </w:tc>
        <w:tc>
          <w:tcPr>
            <w:tcW w:w="920" w:type="dxa"/>
            <w:vAlign w:val="bottom"/>
            <w:tcBorders>
              <w:right w:val="single" w:sz="8" w:color="3C3C3C"/>
            </w:tcBorders>
            <w:vMerge w:val="continue"/>
            <w:shd w:val="clear" w:color="auto" w:fill="3C3C3C"/>
          </w:tcPr>
          <w:p>
            <w:pPr>
              <w:spacing w:after="0"/>
              <w:rPr>
                <w:sz w:val="6"/>
                <w:szCs w:val="6"/>
                <w:color w:val="auto"/>
              </w:rPr>
            </w:pPr>
          </w:p>
        </w:tc>
        <w:tc>
          <w:tcPr>
            <w:tcW w:w="1500" w:type="dxa"/>
            <w:vAlign w:val="bottom"/>
            <w:tcBorders>
              <w:right w:val="single" w:sz="8" w:color="3C3C3C"/>
            </w:tcBorders>
            <w:vMerge w:val="continue"/>
            <w:shd w:val="clear" w:color="auto" w:fill="3C3C3C"/>
          </w:tcPr>
          <w:p>
            <w:pPr>
              <w:spacing w:after="0"/>
              <w:rPr>
                <w:sz w:val="6"/>
                <w:szCs w:val="6"/>
                <w:color w:val="auto"/>
              </w:rPr>
            </w:pPr>
          </w:p>
        </w:tc>
        <w:tc>
          <w:tcPr>
            <w:tcW w:w="1560" w:type="dxa"/>
            <w:vAlign w:val="bottom"/>
            <w:tcBorders>
              <w:right w:val="single" w:sz="8" w:color="3C3C3C"/>
            </w:tcBorders>
            <w:vMerge w:val="restart"/>
            <w:shd w:val="clear" w:color="auto" w:fill="3C3C3C"/>
          </w:tcPr>
          <w:p>
            <w:pPr>
              <w:jc w:val="center"/>
              <w:ind w:right="63"/>
              <w:spacing w:after="0" w:line="140" w:lineRule="exact"/>
              <w:rPr>
                <w:sz w:val="20"/>
                <w:szCs w:val="20"/>
                <w:color w:val="auto"/>
              </w:rPr>
            </w:pPr>
            <w:r>
              <w:rPr>
                <w:rFonts w:ascii="Arial" w:cs="Arial" w:eastAsia="Arial" w:hAnsi="Arial"/>
                <w:sz w:val="14"/>
                <w:szCs w:val="14"/>
                <w:b w:val="1"/>
                <w:bCs w:val="1"/>
                <w:color w:val="FFFFFF"/>
                <w:w w:val="99"/>
              </w:rPr>
              <w:t>Plan Compensation</w:t>
            </w:r>
          </w:p>
        </w:tc>
        <w:tc>
          <w:tcPr>
            <w:tcW w:w="1500" w:type="dxa"/>
            <w:vAlign w:val="bottom"/>
            <w:tcBorders>
              <w:right w:val="single" w:sz="8" w:color="3C3C3C"/>
            </w:tcBorders>
            <w:vMerge w:val="restart"/>
            <w:shd w:val="clear" w:color="auto" w:fill="3C3C3C"/>
          </w:tcPr>
          <w:p>
            <w:pPr>
              <w:jc w:val="center"/>
              <w:ind w:right="85"/>
              <w:spacing w:after="0" w:line="140" w:lineRule="exact"/>
              <w:rPr>
                <w:sz w:val="20"/>
                <w:szCs w:val="20"/>
                <w:color w:val="auto"/>
              </w:rPr>
            </w:pPr>
            <w:r>
              <w:rPr>
                <w:rFonts w:ascii="Arial" w:cs="Arial" w:eastAsia="Arial" w:hAnsi="Arial"/>
                <w:sz w:val="14"/>
                <w:szCs w:val="14"/>
                <w:b w:val="1"/>
                <w:bCs w:val="1"/>
                <w:color w:val="FFFFFF"/>
              </w:rPr>
              <w:t>Compensation</w:t>
            </w:r>
          </w:p>
        </w:tc>
        <w:tc>
          <w:tcPr>
            <w:tcW w:w="128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560" w:type="dxa"/>
            <w:vAlign w:val="bottom"/>
            <w:tcBorders>
              <w:left w:val="single" w:sz="8" w:color="3C3C3C"/>
              <w:right w:val="single" w:sz="8" w:color="3C3C3C"/>
            </w:tcBorders>
            <w:vMerge w:val="continue"/>
            <w:shd w:val="clear" w:color="auto" w:fill="3C3C3C"/>
          </w:tcPr>
          <w:p>
            <w:pPr>
              <w:spacing w:after="0"/>
              <w:rPr>
                <w:sz w:val="5"/>
                <w:szCs w:val="5"/>
                <w:color w:val="auto"/>
              </w:rPr>
            </w:pPr>
          </w:p>
        </w:tc>
        <w:tc>
          <w:tcPr>
            <w:tcW w:w="80" w:type="dxa"/>
            <w:vAlign w:val="bottom"/>
            <w:shd w:val="clear" w:color="auto" w:fill="3C3C3C"/>
          </w:tcPr>
          <w:p>
            <w:pPr>
              <w:spacing w:after="0"/>
              <w:rPr>
                <w:sz w:val="5"/>
                <w:szCs w:val="5"/>
                <w:color w:val="auto"/>
              </w:rPr>
            </w:pPr>
          </w:p>
        </w:tc>
        <w:tc>
          <w:tcPr>
            <w:tcW w:w="600" w:type="dxa"/>
            <w:vAlign w:val="bottom"/>
            <w:vMerge w:val="continue"/>
            <w:shd w:val="clear" w:color="auto" w:fill="3C3C3C"/>
          </w:tcPr>
          <w:p>
            <w:pPr>
              <w:spacing w:after="0"/>
              <w:rPr>
                <w:sz w:val="5"/>
                <w:szCs w:val="5"/>
                <w:color w:val="auto"/>
              </w:rPr>
            </w:pPr>
          </w:p>
        </w:tc>
        <w:tc>
          <w:tcPr>
            <w:tcW w:w="120" w:type="dxa"/>
            <w:vAlign w:val="bottom"/>
            <w:tcBorders>
              <w:right w:val="single" w:sz="8" w:color="3C3C3C"/>
            </w:tcBorders>
            <w:shd w:val="clear" w:color="auto" w:fill="3C3C3C"/>
          </w:tcPr>
          <w:p>
            <w:pPr>
              <w:spacing w:after="0"/>
              <w:rPr>
                <w:sz w:val="5"/>
                <w:szCs w:val="5"/>
                <w:color w:val="auto"/>
              </w:rPr>
            </w:pPr>
          </w:p>
        </w:tc>
        <w:tc>
          <w:tcPr>
            <w:tcW w:w="1120" w:type="dxa"/>
            <w:vAlign w:val="bottom"/>
            <w:tcBorders>
              <w:right w:val="single" w:sz="8" w:color="3C3C3C"/>
            </w:tcBorders>
            <w:shd w:val="clear" w:color="auto" w:fill="3C3C3C"/>
          </w:tcPr>
          <w:p>
            <w:pPr>
              <w:spacing w:after="0"/>
              <w:rPr>
                <w:sz w:val="5"/>
                <w:szCs w:val="5"/>
                <w:color w:val="auto"/>
              </w:rPr>
            </w:pPr>
          </w:p>
        </w:tc>
        <w:tc>
          <w:tcPr>
            <w:tcW w:w="920" w:type="dxa"/>
            <w:vAlign w:val="bottom"/>
            <w:tcBorders>
              <w:right w:val="single" w:sz="8" w:color="3C3C3C"/>
            </w:tcBorders>
            <w:shd w:val="clear" w:color="auto" w:fill="3C3C3C"/>
          </w:tcPr>
          <w:p>
            <w:pPr>
              <w:spacing w:after="0"/>
              <w:rPr>
                <w:sz w:val="5"/>
                <w:szCs w:val="5"/>
                <w:color w:val="auto"/>
              </w:rPr>
            </w:pPr>
          </w:p>
        </w:tc>
        <w:tc>
          <w:tcPr>
            <w:tcW w:w="1500" w:type="dxa"/>
            <w:vAlign w:val="bottom"/>
            <w:tcBorders>
              <w:right w:val="single" w:sz="8" w:color="3C3C3C"/>
            </w:tcBorders>
            <w:shd w:val="clear" w:color="auto" w:fill="3C3C3C"/>
          </w:tcPr>
          <w:p>
            <w:pPr>
              <w:jc w:val="right"/>
              <w:ind w:right="606"/>
              <w:spacing w:after="0" w:line="64" w:lineRule="exact"/>
              <w:rPr>
                <w:sz w:val="20"/>
                <w:szCs w:val="20"/>
                <w:color w:val="auto"/>
              </w:rPr>
            </w:pPr>
            <w:r>
              <w:rPr>
                <w:rFonts w:ascii="Arial" w:cs="Arial" w:eastAsia="Arial" w:hAnsi="Arial"/>
                <w:sz w:val="7"/>
                <w:szCs w:val="7"/>
                <w:b w:val="1"/>
                <w:bCs w:val="1"/>
                <w:color w:val="FFFFFF"/>
              </w:rPr>
              <w:t>(1)</w:t>
            </w:r>
          </w:p>
        </w:tc>
        <w:tc>
          <w:tcPr>
            <w:tcW w:w="1560" w:type="dxa"/>
            <w:vAlign w:val="bottom"/>
            <w:tcBorders>
              <w:right w:val="single" w:sz="8" w:color="3C3C3C"/>
            </w:tcBorders>
            <w:vMerge w:val="continue"/>
            <w:shd w:val="clear" w:color="auto" w:fill="3C3C3C"/>
          </w:tcPr>
          <w:p>
            <w:pPr>
              <w:spacing w:after="0"/>
              <w:rPr>
                <w:sz w:val="5"/>
                <w:szCs w:val="5"/>
                <w:color w:val="auto"/>
              </w:rPr>
            </w:pPr>
          </w:p>
        </w:tc>
        <w:tc>
          <w:tcPr>
            <w:tcW w:w="1500" w:type="dxa"/>
            <w:vAlign w:val="bottom"/>
            <w:tcBorders>
              <w:right w:val="single" w:sz="8" w:color="3C3C3C"/>
            </w:tcBorders>
            <w:vMerge w:val="continue"/>
            <w:shd w:val="clear" w:color="auto" w:fill="3C3C3C"/>
          </w:tcPr>
          <w:p>
            <w:pPr>
              <w:spacing w:after="0"/>
              <w:rPr>
                <w:sz w:val="5"/>
                <w:szCs w:val="5"/>
                <w:color w:val="auto"/>
              </w:rPr>
            </w:pPr>
          </w:p>
        </w:tc>
        <w:tc>
          <w:tcPr>
            <w:tcW w:w="1280" w:type="dxa"/>
            <w:vAlign w:val="bottom"/>
            <w:shd w:val="clear" w:color="auto" w:fill="3C3C3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560" w:type="dxa"/>
            <w:vAlign w:val="bottom"/>
            <w:tcBorders>
              <w:left w:val="single" w:sz="8" w:color="3C3C3C"/>
              <w:right w:val="single" w:sz="8" w:color="3C3C3C"/>
            </w:tcBorders>
            <w:shd w:val="clear" w:color="auto" w:fill="3C3C3C"/>
          </w:tcPr>
          <w:p>
            <w:pPr>
              <w:spacing w:after="0"/>
              <w:rPr>
                <w:sz w:val="19"/>
                <w:szCs w:val="19"/>
                <w:color w:val="auto"/>
              </w:rPr>
            </w:pPr>
          </w:p>
        </w:tc>
        <w:tc>
          <w:tcPr>
            <w:tcW w:w="80" w:type="dxa"/>
            <w:vAlign w:val="bottom"/>
            <w:shd w:val="clear" w:color="auto" w:fill="3C3C3C"/>
          </w:tcPr>
          <w:p>
            <w:pPr>
              <w:spacing w:after="0"/>
              <w:rPr>
                <w:sz w:val="19"/>
                <w:szCs w:val="19"/>
                <w:color w:val="auto"/>
              </w:rPr>
            </w:pPr>
          </w:p>
        </w:tc>
        <w:tc>
          <w:tcPr>
            <w:tcW w:w="600" w:type="dxa"/>
            <w:vAlign w:val="bottom"/>
            <w:shd w:val="clear" w:color="auto" w:fill="3C3C3C"/>
          </w:tcPr>
          <w:p>
            <w:pPr>
              <w:spacing w:after="0"/>
              <w:rPr>
                <w:sz w:val="19"/>
                <w:szCs w:val="19"/>
                <w:color w:val="auto"/>
              </w:rPr>
            </w:pPr>
          </w:p>
        </w:tc>
        <w:tc>
          <w:tcPr>
            <w:tcW w:w="1240" w:type="dxa"/>
            <w:vAlign w:val="bottom"/>
            <w:tcBorders>
              <w:right w:val="single" w:sz="8" w:color="3C3C3C"/>
            </w:tcBorders>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right w:val="single" w:sz="8" w:color="3C3C3C"/>
            </w:tcBorders>
            <w:shd w:val="clear" w:color="auto" w:fill="3C3C3C"/>
          </w:tcPr>
          <w:p>
            <w:pPr>
              <w:jc w:val="right"/>
              <w:ind w:right="363"/>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right w:val="single" w:sz="8" w:color="3C3C3C"/>
            </w:tcBorders>
            <w:shd w:val="clear" w:color="auto" w:fill="3C3C3C"/>
          </w:tcPr>
          <w:p>
            <w:pPr>
              <w:jc w:val="right"/>
              <w:ind w:right="726"/>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right w:val="single" w:sz="8" w:color="3C3C3C"/>
            </w:tcBorders>
            <w:shd w:val="clear" w:color="auto" w:fill="3C3C3C"/>
          </w:tcPr>
          <w:p>
            <w:pPr>
              <w:jc w:val="center"/>
              <w:ind w:right="83"/>
              <w:spacing w:after="0"/>
              <w:rPr>
                <w:sz w:val="20"/>
                <w:szCs w:val="20"/>
                <w:color w:val="auto"/>
              </w:rPr>
            </w:pPr>
            <w:r>
              <w:rPr>
                <w:rFonts w:ascii="Arial" w:cs="Arial" w:eastAsia="Arial" w:hAnsi="Arial"/>
                <w:sz w:val="14"/>
                <w:szCs w:val="14"/>
                <w:b w:val="1"/>
                <w:bCs w:val="1"/>
                <w:color w:val="FFFFFF"/>
                <w:w w:val="93"/>
              </w:rPr>
              <w:t>($)</w:t>
            </w:r>
          </w:p>
        </w:tc>
        <w:tc>
          <w:tcPr>
            <w:tcW w:w="1500" w:type="dxa"/>
            <w:vAlign w:val="bottom"/>
            <w:tcBorders>
              <w:right w:val="single" w:sz="8" w:color="3C3C3C"/>
            </w:tcBorders>
            <w:shd w:val="clear" w:color="auto" w:fill="3C3C3C"/>
          </w:tcPr>
          <w:p>
            <w:pPr>
              <w:jc w:val="center"/>
              <w:ind w:right="65"/>
              <w:spacing w:after="0" w:line="222" w:lineRule="exact"/>
              <w:rPr>
                <w:sz w:val="20"/>
                <w:szCs w:val="20"/>
                <w:color w:val="auto"/>
              </w:rPr>
            </w:pPr>
            <w:r>
              <w:rPr>
                <w:rFonts w:ascii="Arial" w:cs="Arial" w:eastAsia="Arial" w:hAnsi="Arial"/>
                <w:sz w:val="25"/>
                <w:szCs w:val="25"/>
                <w:b w:val="1"/>
                <w:bCs w:val="1"/>
                <w:color w:val="FFFFFF"/>
                <w:w w:val="89"/>
                <w:vertAlign w:val="subscript"/>
              </w:rPr>
              <w:t>($)</w:t>
            </w:r>
            <w:r>
              <w:rPr>
                <w:rFonts w:ascii="Arial" w:cs="Arial" w:eastAsia="Arial" w:hAnsi="Arial"/>
                <w:sz w:val="9"/>
                <w:szCs w:val="9"/>
                <w:b w:val="1"/>
                <w:bCs w:val="1"/>
                <w:color w:val="FFFFFF"/>
                <w:w w:val="89"/>
              </w:rPr>
              <w:t>(2)</w:t>
            </w:r>
          </w:p>
        </w:tc>
        <w:tc>
          <w:tcPr>
            <w:tcW w:w="128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560" w:type="dxa"/>
            <w:vAlign w:val="bottom"/>
            <w:tcBorders>
              <w:left w:val="single" w:sz="8" w:color="7D7D7D"/>
              <w:right w:val="single" w:sz="8" w:color="7D7D7D"/>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w:t>
            </w:r>
          </w:p>
        </w:tc>
        <w:tc>
          <w:tcPr>
            <w:tcW w:w="80" w:type="dxa"/>
            <w:vAlign w:val="bottom"/>
            <w:shd w:val="clear" w:color="auto" w:fill="FAF6EF"/>
          </w:tcPr>
          <w:p>
            <w:pPr>
              <w:spacing w:after="0"/>
              <w:rPr>
                <w:sz w:val="22"/>
                <w:szCs w:val="22"/>
                <w:color w:val="auto"/>
              </w:rPr>
            </w:pPr>
          </w:p>
        </w:tc>
        <w:tc>
          <w:tcPr>
            <w:tcW w:w="6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2023</w:t>
            </w:r>
          </w:p>
        </w:tc>
        <w:tc>
          <w:tcPr>
            <w:tcW w:w="120" w:type="dxa"/>
            <w:vAlign w:val="bottom"/>
            <w:tcBorders>
              <w:right w:val="single" w:sz="8" w:color="7D7D7D"/>
            </w:tcBorders>
            <w:shd w:val="clear" w:color="auto" w:fill="FAF6EF"/>
          </w:tcPr>
          <w:p>
            <w:pPr>
              <w:spacing w:after="0"/>
              <w:rPr>
                <w:sz w:val="22"/>
                <w:szCs w:val="22"/>
                <w:color w:val="auto"/>
              </w:rPr>
            </w:pPr>
          </w:p>
        </w:tc>
        <w:tc>
          <w:tcPr>
            <w:tcW w:w="1120" w:type="dxa"/>
            <w:vAlign w:val="bottom"/>
            <w:tcBorders>
              <w:right w:val="single" w:sz="8" w:color="7D7D7D"/>
            </w:tcBorders>
            <w:shd w:val="clear" w:color="auto" w:fill="FAF6EF"/>
          </w:tcPr>
          <w:p>
            <w:pPr>
              <w:jc w:val="center"/>
              <w:ind w:right="62"/>
              <w:spacing w:after="0"/>
              <w:rPr>
                <w:sz w:val="20"/>
                <w:szCs w:val="20"/>
                <w:color w:val="auto"/>
              </w:rPr>
            </w:pPr>
            <w:r>
              <w:rPr>
                <w:rFonts w:ascii="Arial" w:cs="Arial" w:eastAsia="Arial" w:hAnsi="Arial"/>
                <w:sz w:val="16"/>
                <w:szCs w:val="16"/>
                <w:color w:val="auto"/>
              </w:rPr>
              <w:t>450,000</w:t>
            </w:r>
          </w:p>
        </w:tc>
        <w:tc>
          <w:tcPr>
            <w:tcW w:w="920" w:type="dxa"/>
            <w:vAlign w:val="bottom"/>
            <w:tcBorders>
              <w:right w:val="single" w:sz="8" w:color="7D7D7D"/>
            </w:tcBorders>
            <w:shd w:val="clear" w:color="auto" w:fill="FAF6EF"/>
          </w:tcPr>
          <w:p>
            <w:pPr>
              <w:jc w:val="right"/>
              <w:ind w:right="363"/>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D7D7D"/>
            </w:tcBorders>
            <w:shd w:val="clear" w:color="auto" w:fill="FAF6EF"/>
          </w:tcPr>
          <w:p>
            <w:pPr>
              <w:jc w:val="center"/>
              <w:ind w:right="66"/>
              <w:spacing w:after="0"/>
              <w:rPr>
                <w:sz w:val="20"/>
                <w:szCs w:val="20"/>
                <w:color w:val="auto"/>
              </w:rPr>
            </w:pPr>
            <w:r>
              <w:rPr>
                <w:rFonts w:ascii="Arial" w:cs="Arial" w:eastAsia="Arial" w:hAnsi="Arial"/>
                <w:sz w:val="16"/>
                <w:szCs w:val="16"/>
                <w:color w:val="auto"/>
                <w:w w:val="99"/>
              </w:rPr>
              <w:t>18,804,672</w:t>
            </w:r>
          </w:p>
        </w:tc>
        <w:tc>
          <w:tcPr>
            <w:tcW w:w="1560" w:type="dxa"/>
            <w:vAlign w:val="bottom"/>
            <w:tcBorders>
              <w:right w:val="single" w:sz="8" w:color="7D7D7D"/>
            </w:tcBorders>
            <w:shd w:val="clear" w:color="auto" w:fill="FAF6EF"/>
          </w:tcPr>
          <w:p>
            <w:pPr>
              <w:jc w:val="center"/>
              <w:ind w:right="63"/>
              <w:spacing w:after="0"/>
              <w:rPr>
                <w:sz w:val="20"/>
                <w:szCs w:val="20"/>
                <w:color w:val="auto"/>
              </w:rPr>
            </w:pPr>
            <w:r>
              <w:rPr>
                <w:rFonts w:ascii="Arial" w:cs="Arial" w:eastAsia="Arial" w:hAnsi="Arial"/>
                <w:sz w:val="16"/>
                <w:szCs w:val="16"/>
                <w:color w:val="auto"/>
              </w:rPr>
              <w:t>270,750</w:t>
            </w:r>
          </w:p>
        </w:tc>
        <w:tc>
          <w:tcPr>
            <w:tcW w:w="1500" w:type="dxa"/>
            <w:vAlign w:val="bottom"/>
            <w:tcBorders>
              <w:right w:val="single" w:sz="8" w:color="7D7D7D"/>
            </w:tcBorders>
            <w:shd w:val="clear" w:color="auto" w:fill="FAF6EF"/>
          </w:tcPr>
          <w:p>
            <w:pPr>
              <w:jc w:val="center"/>
              <w:ind w:right="85"/>
              <w:spacing w:after="0"/>
              <w:rPr>
                <w:sz w:val="20"/>
                <w:szCs w:val="20"/>
                <w:color w:val="auto"/>
              </w:rPr>
            </w:pPr>
            <w:r>
              <w:rPr>
                <w:rFonts w:ascii="Arial" w:cs="Arial" w:eastAsia="Arial" w:hAnsi="Arial"/>
                <w:sz w:val="16"/>
                <w:szCs w:val="16"/>
                <w:color w:val="auto"/>
                <w:w w:val="94"/>
              </w:rPr>
              <w:t>2,112</w:t>
            </w:r>
          </w:p>
        </w:tc>
        <w:tc>
          <w:tcPr>
            <w:tcW w:w="12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7"/>
              </w:rPr>
              <w:t>19,527,534</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560" w:type="dxa"/>
            <w:vAlign w:val="bottom"/>
            <w:tcBorders>
              <w:left w:val="single" w:sz="8" w:color="7D7D7D"/>
              <w:right w:val="single" w:sz="8" w:color="7D7D7D"/>
            </w:tcBorders>
            <w:vMerge w:val="continue"/>
            <w:shd w:val="clear" w:color="auto" w:fill="FAF6EF"/>
          </w:tcPr>
          <w:p>
            <w:pPr>
              <w:spacing w:after="0"/>
              <w:rPr>
                <w:sz w:val="4"/>
                <w:szCs w:val="4"/>
                <w:color w:val="auto"/>
              </w:rPr>
            </w:pPr>
          </w:p>
        </w:tc>
        <w:tc>
          <w:tcPr>
            <w:tcW w:w="80" w:type="dxa"/>
            <w:vAlign w:val="bottom"/>
            <w:shd w:val="clear" w:color="auto" w:fill="FAF6EF"/>
          </w:tcPr>
          <w:p>
            <w:pPr>
              <w:spacing w:after="0"/>
              <w:rPr>
                <w:sz w:val="4"/>
                <w:szCs w:val="4"/>
                <w:color w:val="auto"/>
              </w:rPr>
            </w:pPr>
          </w:p>
        </w:tc>
        <w:tc>
          <w:tcPr>
            <w:tcW w:w="600" w:type="dxa"/>
            <w:vAlign w:val="bottom"/>
            <w:shd w:val="clear" w:color="auto" w:fill="FAF6EF"/>
          </w:tcPr>
          <w:p>
            <w:pPr>
              <w:spacing w:after="0"/>
              <w:rPr>
                <w:sz w:val="4"/>
                <w:szCs w:val="4"/>
                <w:color w:val="auto"/>
              </w:rPr>
            </w:pPr>
          </w:p>
        </w:tc>
        <w:tc>
          <w:tcPr>
            <w:tcW w:w="120" w:type="dxa"/>
            <w:vAlign w:val="bottom"/>
            <w:tcBorders>
              <w:right w:val="single" w:sz="8" w:color="7D7D7D"/>
            </w:tcBorders>
            <w:shd w:val="clear" w:color="auto" w:fill="FAF6EF"/>
          </w:tcPr>
          <w:p>
            <w:pPr>
              <w:spacing w:after="0"/>
              <w:rPr>
                <w:sz w:val="4"/>
                <w:szCs w:val="4"/>
                <w:color w:val="auto"/>
              </w:rPr>
            </w:pPr>
          </w:p>
        </w:tc>
        <w:tc>
          <w:tcPr>
            <w:tcW w:w="1120" w:type="dxa"/>
            <w:vAlign w:val="bottom"/>
            <w:tcBorders>
              <w:right w:val="single" w:sz="8" w:color="7D7D7D"/>
            </w:tcBorders>
            <w:shd w:val="clear" w:color="auto" w:fill="FAF6EF"/>
          </w:tcPr>
          <w:p>
            <w:pPr>
              <w:spacing w:after="0"/>
              <w:rPr>
                <w:sz w:val="4"/>
                <w:szCs w:val="4"/>
                <w:color w:val="auto"/>
              </w:rPr>
            </w:pPr>
          </w:p>
        </w:tc>
        <w:tc>
          <w:tcPr>
            <w:tcW w:w="920" w:type="dxa"/>
            <w:vAlign w:val="bottom"/>
            <w:tcBorders>
              <w:right w:val="single" w:sz="8" w:color="7D7D7D"/>
            </w:tcBorders>
            <w:shd w:val="clear" w:color="auto" w:fill="FAF6EF"/>
          </w:tcPr>
          <w:p>
            <w:pPr>
              <w:spacing w:after="0"/>
              <w:rPr>
                <w:sz w:val="4"/>
                <w:szCs w:val="4"/>
                <w:color w:val="auto"/>
              </w:rPr>
            </w:pPr>
          </w:p>
        </w:tc>
        <w:tc>
          <w:tcPr>
            <w:tcW w:w="1500" w:type="dxa"/>
            <w:vAlign w:val="bottom"/>
            <w:tcBorders>
              <w:right w:val="single" w:sz="8" w:color="7D7D7D"/>
            </w:tcBorders>
            <w:shd w:val="clear" w:color="auto" w:fill="FAF6EF"/>
          </w:tcPr>
          <w:p>
            <w:pPr>
              <w:spacing w:after="0"/>
              <w:rPr>
                <w:sz w:val="4"/>
                <w:szCs w:val="4"/>
                <w:color w:val="auto"/>
              </w:rPr>
            </w:pPr>
          </w:p>
        </w:tc>
        <w:tc>
          <w:tcPr>
            <w:tcW w:w="1560" w:type="dxa"/>
            <w:vAlign w:val="bottom"/>
            <w:tcBorders>
              <w:right w:val="single" w:sz="8" w:color="7D7D7D"/>
            </w:tcBorders>
            <w:shd w:val="clear" w:color="auto" w:fill="FAF6EF"/>
          </w:tcPr>
          <w:p>
            <w:pPr>
              <w:spacing w:after="0"/>
              <w:rPr>
                <w:sz w:val="4"/>
                <w:szCs w:val="4"/>
                <w:color w:val="auto"/>
              </w:rPr>
            </w:pPr>
          </w:p>
        </w:tc>
        <w:tc>
          <w:tcPr>
            <w:tcW w:w="1500" w:type="dxa"/>
            <w:vAlign w:val="bottom"/>
            <w:tcBorders>
              <w:right w:val="single" w:sz="8" w:color="7D7D7D"/>
            </w:tcBorders>
            <w:shd w:val="clear" w:color="auto" w:fill="FAF6EF"/>
          </w:tcPr>
          <w:p>
            <w:pPr>
              <w:spacing w:after="0"/>
              <w:rPr>
                <w:sz w:val="4"/>
                <w:szCs w:val="4"/>
                <w:color w:val="auto"/>
              </w:rPr>
            </w:pPr>
          </w:p>
        </w:tc>
        <w:tc>
          <w:tcPr>
            <w:tcW w:w="1280" w:type="dxa"/>
            <w:vAlign w:val="bottom"/>
            <w:shd w:val="clear" w:color="auto" w:fill="FAF6EF"/>
          </w:tcPr>
          <w:p>
            <w:pPr>
              <w:spacing w:after="0"/>
              <w:rPr>
                <w:sz w:val="4"/>
                <w:szCs w:val="4"/>
                <w:color w:val="auto"/>
              </w:rPr>
            </w:pPr>
          </w:p>
        </w:tc>
        <w:tc>
          <w:tcPr>
            <w:tcW w:w="20" w:type="dxa"/>
            <w:vAlign w:val="bottom"/>
            <w:shd w:val="clear" w:color="auto" w:fill="7D7D7D"/>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5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Kothandaraman</w:t>
            </w:r>
          </w:p>
        </w:tc>
        <w:tc>
          <w:tcPr>
            <w:tcW w:w="80" w:type="dxa"/>
            <w:vAlign w:val="bottom"/>
            <w:shd w:val="clear" w:color="auto" w:fill="FAF6EF"/>
          </w:tcPr>
          <w:p>
            <w:pPr>
              <w:spacing w:after="0"/>
              <w:rPr>
                <w:sz w:val="20"/>
                <w:szCs w:val="20"/>
                <w:color w:val="auto"/>
              </w:rPr>
            </w:pPr>
          </w:p>
        </w:tc>
        <w:tc>
          <w:tcPr>
            <w:tcW w:w="6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2022</w:t>
            </w:r>
          </w:p>
        </w:tc>
        <w:tc>
          <w:tcPr>
            <w:tcW w:w="120" w:type="dxa"/>
            <w:vAlign w:val="bottom"/>
            <w:tcBorders>
              <w:right w:val="single" w:sz="8" w:color="7D7D7D"/>
            </w:tcBorders>
            <w:shd w:val="clear" w:color="auto" w:fill="FAF6EF"/>
          </w:tcPr>
          <w:p>
            <w:pPr>
              <w:spacing w:after="0"/>
              <w:rPr>
                <w:sz w:val="20"/>
                <w:szCs w:val="20"/>
                <w:color w:val="auto"/>
              </w:rPr>
            </w:pPr>
          </w:p>
        </w:tc>
        <w:tc>
          <w:tcPr>
            <w:tcW w:w="1120" w:type="dxa"/>
            <w:vAlign w:val="bottom"/>
            <w:tcBorders>
              <w:right w:val="single" w:sz="8" w:color="7D7D7D"/>
            </w:tcBorders>
            <w:shd w:val="clear" w:color="auto" w:fill="FAF6EF"/>
          </w:tcPr>
          <w:p>
            <w:pPr>
              <w:jc w:val="center"/>
              <w:ind w:right="62"/>
              <w:spacing w:after="0"/>
              <w:rPr>
                <w:sz w:val="20"/>
                <w:szCs w:val="20"/>
                <w:color w:val="auto"/>
              </w:rPr>
            </w:pPr>
            <w:r>
              <w:rPr>
                <w:rFonts w:ascii="Arial" w:cs="Arial" w:eastAsia="Arial" w:hAnsi="Arial"/>
                <w:sz w:val="16"/>
                <w:szCs w:val="16"/>
                <w:color w:val="auto"/>
              </w:rPr>
              <w:t>450,000</w:t>
            </w:r>
          </w:p>
        </w:tc>
        <w:tc>
          <w:tcPr>
            <w:tcW w:w="920" w:type="dxa"/>
            <w:vAlign w:val="bottom"/>
            <w:tcBorders>
              <w:right w:val="single" w:sz="8" w:color="7D7D7D"/>
            </w:tcBorders>
            <w:shd w:val="clear" w:color="auto" w:fill="FAF6EF"/>
          </w:tcPr>
          <w:p>
            <w:pPr>
              <w:jc w:val="right"/>
              <w:ind w:right="363"/>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D7D7D"/>
            </w:tcBorders>
            <w:shd w:val="clear" w:color="auto" w:fill="FAF6EF"/>
          </w:tcPr>
          <w:p>
            <w:pPr>
              <w:jc w:val="center"/>
              <w:ind w:right="66"/>
              <w:spacing w:after="0"/>
              <w:rPr>
                <w:sz w:val="20"/>
                <w:szCs w:val="20"/>
                <w:color w:val="auto"/>
              </w:rPr>
            </w:pPr>
            <w:r>
              <w:rPr>
                <w:rFonts w:ascii="Arial" w:cs="Arial" w:eastAsia="Arial" w:hAnsi="Arial"/>
                <w:sz w:val="16"/>
                <w:szCs w:val="16"/>
                <w:color w:val="auto"/>
                <w:w w:val="94"/>
              </w:rPr>
              <w:t>15,611,200</w:t>
            </w:r>
          </w:p>
        </w:tc>
        <w:tc>
          <w:tcPr>
            <w:tcW w:w="1560" w:type="dxa"/>
            <w:vAlign w:val="bottom"/>
            <w:tcBorders>
              <w:right w:val="single" w:sz="8" w:color="7D7D7D"/>
            </w:tcBorders>
            <w:shd w:val="clear" w:color="auto" w:fill="FAF6EF"/>
          </w:tcPr>
          <w:p>
            <w:pPr>
              <w:jc w:val="center"/>
              <w:ind w:right="63"/>
              <w:spacing w:after="0"/>
              <w:rPr>
                <w:sz w:val="20"/>
                <w:szCs w:val="20"/>
                <w:color w:val="auto"/>
              </w:rPr>
            </w:pPr>
            <w:r>
              <w:rPr>
                <w:rFonts w:ascii="Arial" w:cs="Arial" w:eastAsia="Arial" w:hAnsi="Arial"/>
                <w:sz w:val="16"/>
                <w:szCs w:val="16"/>
                <w:color w:val="auto"/>
              </w:rPr>
              <w:t>564,665</w:t>
            </w:r>
          </w:p>
        </w:tc>
        <w:tc>
          <w:tcPr>
            <w:tcW w:w="1500" w:type="dxa"/>
            <w:vAlign w:val="bottom"/>
            <w:tcBorders>
              <w:right w:val="single" w:sz="8" w:color="7D7D7D"/>
            </w:tcBorders>
            <w:shd w:val="clear" w:color="auto" w:fill="FAF6EF"/>
          </w:tcPr>
          <w:p>
            <w:pPr>
              <w:jc w:val="center"/>
              <w:ind w:right="85"/>
              <w:spacing w:after="0"/>
              <w:rPr>
                <w:sz w:val="20"/>
                <w:szCs w:val="20"/>
                <w:color w:val="auto"/>
              </w:rPr>
            </w:pPr>
            <w:r>
              <w:rPr>
                <w:rFonts w:ascii="Arial" w:cs="Arial" w:eastAsia="Arial" w:hAnsi="Arial"/>
                <w:sz w:val="16"/>
                <w:szCs w:val="16"/>
                <w:color w:val="auto"/>
                <w:w w:val="94"/>
              </w:rPr>
              <w:t>2,112</w:t>
            </w:r>
          </w:p>
        </w:tc>
        <w:tc>
          <w:tcPr>
            <w:tcW w:w="12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7"/>
              </w:rPr>
              <w:t>16,627,977</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President and CEO</w:t>
            </w:r>
          </w:p>
        </w:tc>
        <w:tc>
          <w:tcPr>
            <w:tcW w:w="80" w:type="dxa"/>
            <w:vAlign w:val="bottom"/>
            <w:shd w:val="clear" w:color="auto" w:fill="FAF6EF"/>
          </w:tcPr>
          <w:p>
            <w:pPr>
              <w:spacing w:after="0"/>
              <w:rPr>
                <w:sz w:val="18"/>
                <w:szCs w:val="18"/>
                <w:color w:val="auto"/>
              </w:rPr>
            </w:pPr>
          </w:p>
        </w:tc>
        <w:tc>
          <w:tcPr>
            <w:tcW w:w="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2021</w:t>
            </w:r>
          </w:p>
        </w:tc>
        <w:tc>
          <w:tcPr>
            <w:tcW w:w="120" w:type="dxa"/>
            <w:vAlign w:val="bottom"/>
            <w:tcBorders>
              <w:right w:val="single" w:sz="8" w:color="7D7D7D"/>
            </w:tcBorders>
            <w:shd w:val="clear" w:color="auto" w:fill="FAF6EF"/>
          </w:tcPr>
          <w:p>
            <w:pPr>
              <w:spacing w:after="0"/>
              <w:rPr>
                <w:sz w:val="18"/>
                <w:szCs w:val="18"/>
                <w:color w:val="auto"/>
              </w:rPr>
            </w:pPr>
          </w:p>
        </w:tc>
        <w:tc>
          <w:tcPr>
            <w:tcW w:w="1120" w:type="dxa"/>
            <w:vAlign w:val="bottom"/>
            <w:tcBorders>
              <w:right w:val="single" w:sz="8" w:color="7D7D7D"/>
            </w:tcBorders>
            <w:vMerge w:val="restart"/>
            <w:shd w:val="clear" w:color="auto" w:fill="FAF6EF"/>
          </w:tcPr>
          <w:p>
            <w:pPr>
              <w:jc w:val="center"/>
              <w:ind w:right="62"/>
              <w:spacing w:after="0"/>
              <w:rPr>
                <w:sz w:val="20"/>
                <w:szCs w:val="20"/>
                <w:color w:val="auto"/>
              </w:rPr>
            </w:pPr>
            <w:r>
              <w:rPr>
                <w:rFonts w:ascii="Arial" w:cs="Arial" w:eastAsia="Arial" w:hAnsi="Arial"/>
                <w:sz w:val="16"/>
                <w:szCs w:val="16"/>
                <w:color w:val="auto"/>
              </w:rPr>
              <w:t>450,000</w:t>
            </w:r>
          </w:p>
        </w:tc>
        <w:tc>
          <w:tcPr>
            <w:tcW w:w="920" w:type="dxa"/>
            <w:vAlign w:val="bottom"/>
            <w:tcBorders>
              <w:right w:val="single" w:sz="8" w:color="7D7D7D"/>
            </w:tcBorders>
            <w:vMerge w:val="restart"/>
            <w:shd w:val="clear" w:color="auto" w:fill="FAF6EF"/>
          </w:tcPr>
          <w:p>
            <w:pPr>
              <w:jc w:val="right"/>
              <w:ind w:right="363"/>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D7D7D"/>
            </w:tcBorders>
            <w:vMerge w:val="restart"/>
            <w:shd w:val="clear" w:color="auto" w:fill="FAF6EF"/>
          </w:tcPr>
          <w:p>
            <w:pPr>
              <w:jc w:val="center"/>
              <w:ind w:right="66"/>
              <w:spacing w:after="0"/>
              <w:rPr>
                <w:sz w:val="20"/>
                <w:szCs w:val="20"/>
                <w:color w:val="auto"/>
              </w:rPr>
            </w:pPr>
            <w:r>
              <w:rPr>
                <w:rFonts w:ascii="Arial" w:cs="Arial" w:eastAsia="Arial" w:hAnsi="Arial"/>
                <w:sz w:val="16"/>
                <w:szCs w:val="16"/>
                <w:color w:val="auto"/>
                <w:w w:val="94"/>
              </w:rPr>
              <w:t>18,311,000</w:t>
            </w:r>
          </w:p>
        </w:tc>
        <w:tc>
          <w:tcPr>
            <w:tcW w:w="1560" w:type="dxa"/>
            <w:vAlign w:val="bottom"/>
            <w:tcBorders>
              <w:right w:val="single" w:sz="8" w:color="7D7D7D"/>
            </w:tcBorders>
            <w:vMerge w:val="restart"/>
            <w:shd w:val="clear" w:color="auto" w:fill="FAF6EF"/>
          </w:tcPr>
          <w:p>
            <w:pPr>
              <w:jc w:val="center"/>
              <w:ind w:right="63"/>
              <w:spacing w:after="0"/>
              <w:rPr>
                <w:sz w:val="20"/>
                <w:szCs w:val="20"/>
                <w:color w:val="auto"/>
              </w:rPr>
            </w:pPr>
            <w:r>
              <w:rPr>
                <w:rFonts w:ascii="Arial" w:cs="Arial" w:eastAsia="Arial" w:hAnsi="Arial"/>
                <w:sz w:val="16"/>
                <w:szCs w:val="16"/>
                <w:color w:val="auto"/>
              </w:rPr>
              <w:t>256,050</w:t>
            </w:r>
          </w:p>
        </w:tc>
        <w:tc>
          <w:tcPr>
            <w:tcW w:w="1500" w:type="dxa"/>
            <w:vAlign w:val="bottom"/>
            <w:tcBorders>
              <w:right w:val="single" w:sz="8" w:color="7D7D7D"/>
            </w:tcBorders>
            <w:vMerge w:val="restart"/>
            <w:shd w:val="clear" w:color="auto" w:fill="FAF6EF"/>
          </w:tcPr>
          <w:p>
            <w:pPr>
              <w:jc w:val="center"/>
              <w:ind w:right="85"/>
              <w:spacing w:after="0"/>
              <w:rPr>
                <w:sz w:val="20"/>
                <w:szCs w:val="20"/>
                <w:color w:val="auto"/>
              </w:rPr>
            </w:pPr>
            <w:r>
              <w:rPr>
                <w:rFonts w:ascii="Arial" w:cs="Arial" w:eastAsia="Arial" w:hAnsi="Arial"/>
                <w:sz w:val="16"/>
                <w:szCs w:val="16"/>
                <w:color w:val="auto"/>
                <w:w w:val="94"/>
              </w:rPr>
              <w:t>2,112</w:t>
            </w:r>
          </w:p>
        </w:tc>
        <w:tc>
          <w:tcPr>
            <w:tcW w:w="128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7"/>
              </w:rPr>
              <w:t>19,019,162</w:t>
            </w:r>
          </w:p>
        </w:tc>
        <w:tc>
          <w:tcPr>
            <w:tcW w:w="20" w:type="dxa"/>
            <w:vAlign w:val="bottom"/>
            <w:shd w:val="clear" w:color="auto" w:fill="7D7D7D"/>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Borders>
              <w:left w:val="single" w:sz="8" w:color="7D7D7D"/>
              <w:bottom w:val="single" w:sz="8" w:color="FAF6EF"/>
              <w:right w:val="single" w:sz="8" w:color="7D7D7D"/>
            </w:tcBorders>
            <w:shd w:val="clear" w:color="auto" w:fill="FAF6EF"/>
          </w:tcPr>
          <w:p>
            <w:pPr>
              <w:spacing w:after="0"/>
              <w:rPr>
                <w:sz w:val="13"/>
                <w:szCs w:val="13"/>
                <w:color w:val="auto"/>
              </w:rPr>
            </w:pPr>
          </w:p>
        </w:tc>
        <w:tc>
          <w:tcPr>
            <w:tcW w:w="80" w:type="dxa"/>
            <w:vAlign w:val="bottom"/>
            <w:tcBorders>
              <w:bottom w:val="single" w:sz="8" w:color="FAF6EF"/>
            </w:tcBorders>
            <w:shd w:val="clear" w:color="auto" w:fill="FAF6EF"/>
          </w:tcPr>
          <w:p>
            <w:pPr>
              <w:spacing w:after="0"/>
              <w:rPr>
                <w:sz w:val="13"/>
                <w:szCs w:val="13"/>
                <w:color w:val="auto"/>
              </w:rPr>
            </w:pPr>
          </w:p>
        </w:tc>
        <w:tc>
          <w:tcPr>
            <w:tcW w:w="600" w:type="dxa"/>
            <w:vAlign w:val="bottom"/>
            <w:tcBorders>
              <w:bottom w:val="single" w:sz="8" w:color="FAF6EF"/>
            </w:tcBorders>
            <w:vMerge w:val="continue"/>
            <w:shd w:val="clear" w:color="auto" w:fill="FAF6EF"/>
          </w:tcPr>
          <w:p>
            <w:pPr>
              <w:spacing w:after="0"/>
              <w:rPr>
                <w:sz w:val="13"/>
                <w:szCs w:val="13"/>
                <w:color w:val="auto"/>
              </w:rPr>
            </w:pPr>
          </w:p>
        </w:tc>
        <w:tc>
          <w:tcPr>
            <w:tcW w:w="120" w:type="dxa"/>
            <w:vAlign w:val="bottom"/>
            <w:tcBorders>
              <w:bottom w:val="single" w:sz="8" w:color="FAF6EF"/>
              <w:right w:val="single" w:sz="8" w:color="7D7D7D"/>
            </w:tcBorders>
            <w:shd w:val="clear" w:color="auto" w:fill="FAF6EF"/>
          </w:tcPr>
          <w:p>
            <w:pPr>
              <w:spacing w:after="0"/>
              <w:rPr>
                <w:sz w:val="13"/>
                <w:szCs w:val="13"/>
                <w:color w:val="auto"/>
              </w:rPr>
            </w:pPr>
          </w:p>
        </w:tc>
        <w:tc>
          <w:tcPr>
            <w:tcW w:w="1120" w:type="dxa"/>
            <w:vAlign w:val="bottom"/>
            <w:tcBorders>
              <w:bottom w:val="single" w:sz="8" w:color="FAF6EF"/>
              <w:right w:val="single" w:sz="8" w:color="7D7D7D"/>
            </w:tcBorders>
            <w:vMerge w:val="continue"/>
            <w:shd w:val="clear" w:color="auto" w:fill="FAF6EF"/>
          </w:tcPr>
          <w:p>
            <w:pPr>
              <w:spacing w:after="0"/>
              <w:rPr>
                <w:sz w:val="13"/>
                <w:szCs w:val="13"/>
                <w:color w:val="auto"/>
              </w:rPr>
            </w:pPr>
          </w:p>
        </w:tc>
        <w:tc>
          <w:tcPr>
            <w:tcW w:w="920" w:type="dxa"/>
            <w:vAlign w:val="bottom"/>
            <w:tcBorders>
              <w:bottom w:val="single" w:sz="8" w:color="FAF6EF"/>
              <w:right w:val="single" w:sz="8" w:color="7D7D7D"/>
            </w:tcBorders>
            <w:vMerge w:val="continue"/>
            <w:shd w:val="clear" w:color="auto" w:fill="FAF6EF"/>
          </w:tcPr>
          <w:p>
            <w:pPr>
              <w:spacing w:after="0"/>
              <w:rPr>
                <w:sz w:val="13"/>
                <w:szCs w:val="13"/>
                <w:color w:val="auto"/>
              </w:rPr>
            </w:pPr>
          </w:p>
        </w:tc>
        <w:tc>
          <w:tcPr>
            <w:tcW w:w="1500" w:type="dxa"/>
            <w:vAlign w:val="bottom"/>
            <w:tcBorders>
              <w:bottom w:val="single" w:sz="8" w:color="FAF6EF"/>
              <w:right w:val="single" w:sz="8" w:color="7D7D7D"/>
            </w:tcBorders>
            <w:vMerge w:val="continue"/>
            <w:shd w:val="clear" w:color="auto" w:fill="FAF6EF"/>
          </w:tcPr>
          <w:p>
            <w:pPr>
              <w:spacing w:after="0"/>
              <w:rPr>
                <w:sz w:val="13"/>
                <w:szCs w:val="13"/>
                <w:color w:val="auto"/>
              </w:rPr>
            </w:pPr>
          </w:p>
        </w:tc>
        <w:tc>
          <w:tcPr>
            <w:tcW w:w="1560" w:type="dxa"/>
            <w:vAlign w:val="bottom"/>
            <w:tcBorders>
              <w:bottom w:val="single" w:sz="8" w:color="FAF6EF"/>
              <w:right w:val="single" w:sz="8" w:color="7D7D7D"/>
            </w:tcBorders>
            <w:vMerge w:val="continue"/>
            <w:shd w:val="clear" w:color="auto" w:fill="FAF6EF"/>
          </w:tcPr>
          <w:p>
            <w:pPr>
              <w:spacing w:after="0"/>
              <w:rPr>
                <w:sz w:val="13"/>
                <w:szCs w:val="13"/>
                <w:color w:val="auto"/>
              </w:rPr>
            </w:pPr>
          </w:p>
        </w:tc>
        <w:tc>
          <w:tcPr>
            <w:tcW w:w="1500" w:type="dxa"/>
            <w:vAlign w:val="bottom"/>
            <w:tcBorders>
              <w:bottom w:val="single" w:sz="8" w:color="FAF6EF"/>
              <w:right w:val="single" w:sz="8" w:color="7D7D7D"/>
            </w:tcBorders>
            <w:vMerge w:val="continue"/>
            <w:shd w:val="clear" w:color="auto" w:fill="FAF6EF"/>
          </w:tcPr>
          <w:p>
            <w:pPr>
              <w:spacing w:after="0"/>
              <w:rPr>
                <w:sz w:val="13"/>
                <w:szCs w:val="13"/>
                <w:color w:val="auto"/>
              </w:rPr>
            </w:pPr>
          </w:p>
        </w:tc>
        <w:tc>
          <w:tcPr>
            <w:tcW w:w="1280" w:type="dxa"/>
            <w:vAlign w:val="bottom"/>
            <w:tcBorders>
              <w:bottom w:val="single" w:sz="8" w:color="FAF6EF"/>
            </w:tcBorders>
            <w:vMerge w:val="continue"/>
            <w:shd w:val="clear" w:color="auto" w:fill="FAF6EF"/>
          </w:tcPr>
          <w:p>
            <w:pPr>
              <w:spacing w:after="0"/>
              <w:rPr>
                <w:sz w:val="13"/>
                <w:szCs w:val="13"/>
                <w:color w:val="auto"/>
              </w:rPr>
            </w:pPr>
          </w:p>
        </w:tc>
        <w:tc>
          <w:tcPr>
            <w:tcW w:w="20" w:type="dxa"/>
            <w:vAlign w:val="bottom"/>
            <w:tcBorders>
              <w:bottom w:val="single" w:sz="8" w:color="7D7D7D"/>
            </w:tcBorders>
            <w:shd w:val="clear" w:color="auto" w:fill="7D7D7D"/>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5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680" w:type="dxa"/>
            <w:vAlign w:val="bottom"/>
            <w:gridSpan w:val="2"/>
          </w:tcPr>
          <w:p>
            <w:pPr>
              <w:jc w:val="center"/>
              <w:ind w:left="2"/>
              <w:spacing w:after="0"/>
              <w:rPr>
                <w:sz w:val="20"/>
                <w:szCs w:val="20"/>
                <w:color w:val="auto"/>
              </w:rPr>
            </w:pPr>
            <w:r>
              <w:rPr>
                <w:rFonts w:ascii="Arial" w:cs="Arial" w:eastAsia="Arial" w:hAnsi="Arial"/>
                <w:sz w:val="16"/>
                <w:szCs w:val="16"/>
                <w:color w:val="auto"/>
              </w:rPr>
              <w:t>2023</w:t>
            </w:r>
          </w:p>
        </w:tc>
        <w:tc>
          <w:tcPr>
            <w:tcW w:w="120" w:type="dxa"/>
            <w:vAlign w:val="bottom"/>
            <w:tcBorders>
              <w:right w:val="single" w:sz="8" w:color="7D7D7D"/>
            </w:tcBorders>
          </w:tcPr>
          <w:p>
            <w:pPr>
              <w:spacing w:after="0"/>
              <w:rPr>
                <w:sz w:val="19"/>
                <w:szCs w:val="19"/>
                <w:color w:val="auto"/>
              </w:rPr>
            </w:pPr>
          </w:p>
        </w:tc>
        <w:tc>
          <w:tcPr>
            <w:tcW w:w="1120" w:type="dxa"/>
            <w:vAlign w:val="bottom"/>
            <w:tcBorders>
              <w:right w:val="single" w:sz="8" w:color="7D7D7D"/>
            </w:tcBorders>
          </w:tcPr>
          <w:p>
            <w:pPr>
              <w:jc w:val="center"/>
              <w:ind w:right="62"/>
              <w:spacing w:after="0"/>
              <w:rPr>
                <w:sz w:val="20"/>
                <w:szCs w:val="20"/>
                <w:color w:val="auto"/>
              </w:rPr>
            </w:pPr>
            <w:r>
              <w:rPr>
                <w:rFonts w:ascii="Arial" w:cs="Arial" w:eastAsia="Arial" w:hAnsi="Arial"/>
                <w:sz w:val="16"/>
                <w:szCs w:val="16"/>
                <w:color w:val="auto"/>
              </w:rPr>
              <w:t>363,125</w:t>
            </w:r>
          </w:p>
        </w:tc>
        <w:tc>
          <w:tcPr>
            <w:tcW w:w="920" w:type="dxa"/>
            <w:vAlign w:val="bottom"/>
            <w:tcBorders>
              <w:right w:val="single" w:sz="8" w:color="7D7D7D"/>
            </w:tcBorders>
          </w:tcPr>
          <w:p>
            <w:pPr>
              <w:jc w:val="right"/>
              <w:ind w:right="363"/>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D7D7D"/>
            </w:tcBorders>
          </w:tcPr>
          <w:p>
            <w:pPr>
              <w:jc w:val="center"/>
              <w:ind w:right="66"/>
              <w:spacing w:after="0"/>
              <w:rPr>
                <w:sz w:val="20"/>
                <w:szCs w:val="20"/>
                <w:color w:val="auto"/>
              </w:rPr>
            </w:pPr>
            <w:r>
              <w:rPr>
                <w:rFonts w:ascii="Arial" w:cs="Arial" w:eastAsia="Arial" w:hAnsi="Arial"/>
                <w:sz w:val="16"/>
                <w:szCs w:val="16"/>
                <w:color w:val="auto"/>
                <w:w w:val="95"/>
              </w:rPr>
              <w:t>6,111,519</w:t>
            </w:r>
          </w:p>
        </w:tc>
        <w:tc>
          <w:tcPr>
            <w:tcW w:w="1560" w:type="dxa"/>
            <w:vAlign w:val="bottom"/>
            <w:tcBorders>
              <w:right w:val="single" w:sz="8" w:color="7D7D7D"/>
            </w:tcBorders>
          </w:tcPr>
          <w:p>
            <w:pPr>
              <w:jc w:val="center"/>
              <w:ind w:right="63"/>
              <w:spacing w:after="0"/>
              <w:rPr>
                <w:sz w:val="20"/>
                <w:szCs w:val="20"/>
                <w:color w:val="auto"/>
              </w:rPr>
            </w:pPr>
            <w:r>
              <w:rPr>
                <w:rFonts w:ascii="Arial" w:cs="Arial" w:eastAsia="Arial" w:hAnsi="Arial"/>
                <w:sz w:val="16"/>
                <w:szCs w:val="16"/>
                <w:color w:val="auto"/>
              </w:rPr>
              <w:t>176,703</w:t>
            </w:r>
          </w:p>
        </w:tc>
        <w:tc>
          <w:tcPr>
            <w:tcW w:w="1500" w:type="dxa"/>
            <w:vAlign w:val="bottom"/>
            <w:tcBorders>
              <w:right w:val="single" w:sz="8" w:color="7D7D7D"/>
            </w:tcBorders>
          </w:tcPr>
          <w:p>
            <w:pPr>
              <w:jc w:val="center"/>
              <w:ind w:right="65"/>
              <w:spacing w:after="0"/>
              <w:rPr>
                <w:sz w:val="20"/>
                <w:szCs w:val="20"/>
                <w:color w:val="auto"/>
              </w:rPr>
            </w:pPr>
            <w:r>
              <w:rPr>
                <w:rFonts w:ascii="Arial" w:cs="Arial" w:eastAsia="Arial" w:hAnsi="Arial"/>
                <w:sz w:val="16"/>
                <w:szCs w:val="16"/>
                <w:color w:val="auto"/>
                <w:w w:val="99"/>
              </w:rPr>
              <w:t>4,920</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6,656,267</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5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EVP and CFO</w:t>
            </w:r>
            <w:r>
              <w:rPr>
                <w:rFonts w:ascii="Arial" w:cs="Arial" w:eastAsia="Arial" w:hAnsi="Arial"/>
                <w:sz w:val="20"/>
                <w:szCs w:val="20"/>
                <w:b w:val="1"/>
                <w:bCs w:val="1"/>
                <w:color w:val="auto"/>
                <w:vertAlign w:val="superscript"/>
              </w:rPr>
              <w:t>(3)</w:t>
            </w:r>
          </w:p>
        </w:tc>
        <w:tc>
          <w:tcPr>
            <w:tcW w:w="680" w:type="dxa"/>
            <w:vAlign w:val="bottom"/>
            <w:gridSpan w:val="2"/>
          </w:tcPr>
          <w:p>
            <w:pPr>
              <w:jc w:val="center"/>
              <w:ind w:left="2"/>
              <w:spacing w:after="0"/>
              <w:rPr>
                <w:sz w:val="20"/>
                <w:szCs w:val="20"/>
                <w:color w:val="auto"/>
              </w:rPr>
            </w:pPr>
            <w:r>
              <w:rPr>
                <w:rFonts w:ascii="Arial" w:cs="Arial" w:eastAsia="Arial" w:hAnsi="Arial"/>
                <w:sz w:val="16"/>
                <w:szCs w:val="16"/>
                <w:color w:val="auto"/>
              </w:rPr>
              <w:t>2022</w:t>
            </w:r>
          </w:p>
        </w:tc>
        <w:tc>
          <w:tcPr>
            <w:tcW w:w="120" w:type="dxa"/>
            <w:vAlign w:val="bottom"/>
            <w:tcBorders>
              <w:right w:val="single" w:sz="8" w:color="7D7D7D"/>
            </w:tcBorders>
          </w:tcPr>
          <w:p>
            <w:pPr>
              <w:spacing w:after="0"/>
              <w:rPr>
                <w:sz w:val="23"/>
                <w:szCs w:val="23"/>
                <w:color w:val="auto"/>
              </w:rPr>
            </w:pPr>
          </w:p>
        </w:tc>
        <w:tc>
          <w:tcPr>
            <w:tcW w:w="1120" w:type="dxa"/>
            <w:vAlign w:val="bottom"/>
            <w:tcBorders>
              <w:right w:val="single" w:sz="8" w:color="7D7D7D"/>
            </w:tcBorders>
          </w:tcPr>
          <w:p>
            <w:pPr>
              <w:jc w:val="center"/>
              <w:ind w:right="62"/>
              <w:spacing w:after="0"/>
              <w:rPr>
                <w:sz w:val="20"/>
                <w:szCs w:val="20"/>
                <w:color w:val="auto"/>
              </w:rPr>
            </w:pPr>
            <w:r>
              <w:rPr>
                <w:rFonts w:ascii="Arial" w:cs="Arial" w:eastAsia="Arial" w:hAnsi="Arial"/>
                <w:sz w:val="16"/>
                <w:szCs w:val="16"/>
                <w:color w:val="auto"/>
              </w:rPr>
              <w:t>350,000</w:t>
            </w:r>
          </w:p>
        </w:tc>
        <w:tc>
          <w:tcPr>
            <w:tcW w:w="920" w:type="dxa"/>
            <w:vAlign w:val="bottom"/>
            <w:tcBorders>
              <w:right w:val="single" w:sz="8" w:color="7D7D7D"/>
            </w:tcBorders>
          </w:tcPr>
          <w:p>
            <w:pPr>
              <w:spacing w:after="0"/>
              <w:rPr>
                <w:sz w:val="23"/>
                <w:szCs w:val="23"/>
                <w:color w:val="auto"/>
              </w:rPr>
            </w:pPr>
          </w:p>
        </w:tc>
        <w:tc>
          <w:tcPr>
            <w:tcW w:w="1500" w:type="dxa"/>
            <w:vAlign w:val="bottom"/>
            <w:tcBorders>
              <w:right w:val="single" w:sz="8" w:color="7D7D7D"/>
            </w:tcBorders>
          </w:tcPr>
          <w:p>
            <w:pPr>
              <w:jc w:val="center"/>
              <w:ind w:right="66"/>
              <w:spacing w:after="0"/>
              <w:rPr>
                <w:sz w:val="20"/>
                <w:szCs w:val="20"/>
                <w:color w:val="auto"/>
              </w:rPr>
            </w:pPr>
            <w:r>
              <w:rPr>
                <w:rFonts w:ascii="Arial" w:cs="Arial" w:eastAsia="Arial" w:hAnsi="Arial"/>
                <w:sz w:val="16"/>
                <w:szCs w:val="16"/>
                <w:color w:val="auto"/>
                <w:w w:val="94"/>
              </w:rPr>
              <w:t>11,245,240</w:t>
            </w:r>
          </w:p>
        </w:tc>
        <w:tc>
          <w:tcPr>
            <w:tcW w:w="1560" w:type="dxa"/>
            <w:vAlign w:val="bottom"/>
            <w:tcBorders>
              <w:right w:val="single" w:sz="8" w:color="7D7D7D"/>
            </w:tcBorders>
          </w:tcPr>
          <w:p>
            <w:pPr>
              <w:jc w:val="center"/>
              <w:ind w:right="63"/>
              <w:spacing w:after="0"/>
              <w:rPr>
                <w:sz w:val="20"/>
                <w:szCs w:val="20"/>
                <w:color w:val="auto"/>
              </w:rPr>
            </w:pPr>
            <w:r>
              <w:rPr>
                <w:rFonts w:ascii="Arial" w:cs="Arial" w:eastAsia="Arial" w:hAnsi="Arial"/>
                <w:sz w:val="16"/>
                <w:szCs w:val="16"/>
                <w:color w:val="auto"/>
              </w:rPr>
              <w:t>391,921</w:t>
            </w:r>
          </w:p>
        </w:tc>
        <w:tc>
          <w:tcPr>
            <w:tcW w:w="1500" w:type="dxa"/>
            <w:vAlign w:val="bottom"/>
            <w:tcBorders>
              <w:right w:val="single" w:sz="8" w:color="7D7D7D"/>
            </w:tcBorders>
          </w:tcPr>
          <w:p>
            <w:pPr>
              <w:jc w:val="center"/>
              <w:ind w:right="65"/>
              <w:spacing w:after="0"/>
              <w:rPr>
                <w:sz w:val="20"/>
                <w:szCs w:val="20"/>
                <w:color w:val="auto"/>
              </w:rPr>
            </w:pPr>
            <w:r>
              <w:rPr>
                <w:rFonts w:ascii="Arial" w:cs="Arial" w:eastAsia="Arial" w:hAnsi="Arial"/>
                <w:sz w:val="16"/>
                <w:szCs w:val="16"/>
                <w:color w:val="auto"/>
                <w:w w:val="99"/>
              </w:rPr>
              <w:t>3,420</w:t>
            </w:r>
          </w:p>
        </w:tc>
        <w:tc>
          <w:tcPr>
            <w:tcW w:w="1280" w:type="dxa"/>
            <w:vAlign w:val="bottom"/>
          </w:tcPr>
          <w:p>
            <w:pPr>
              <w:jc w:val="center"/>
              <w:spacing w:after="0"/>
              <w:rPr>
                <w:sz w:val="20"/>
                <w:szCs w:val="20"/>
                <w:color w:val="auto"/>
              </w:rPr>
            </w:pPr>
            <w:r>
              <w:rPr>
                <w:rFonts w:ascii="Arial" w:cs="Arial" w:eastAsia="Arial" w:hAnsi="Arial"/>
                <w:sz w:val="16"/>
                <w:szCs w:val="16"/>
                <w:color w:val="auto"/>
                <w:w w:val="94"/>
              </w:rPr>
              <w:t>11,990,581</w:t>
            </w:r>
          </w:p>
        </w:tc>
        <w:tc>
          <w:tcPr>
            <w:tcW w:w="20" w:type="dxa"/>
            <w:vAlign w:val="bottom"/>
            <w:shd w:val="clear" w:color="auto" w:fill="7D7D7D"/>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2560" w:type="dxa"/>
            <w:vAlign w:val="bottom"/>
            <w:tcBorders>
              <w:left w:val="single" w:sz="8" w:color="7D7D7D"/>
              <w:right w:val="single" w:sz="8" w:color="7D7D7D"/>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9"/>
        </w:trPr>
        <w:tc>
          <w:tcPr>
            <w:tcW w:w="2560" w:type="dxa"/>
            <w:vAlign w:val="bottom"/>
            <w:tcBorders>
              <w:left w:val="single" w:sz="8" w:color="7D7D7D"/>
              <w:right w:val="single" w:sz="8" w:color="7D7D7D"/>
            </w:tcBorders>
            <w:shd w:val="clear" w:color="auto" w:fill="FAF6EF"/>
          </w:tcPr>
          <w:p>
            <w:pPr>
              <w:spacing w:after="0"/>
              <w:rPr>
                <w:sz w:val="22"/>
                <w:szCs w:val="22"/>
                <w:color w:val="auto"/>
              </w:rPr>
            </w:pPr>
          </w:p>
        </w:tc>
        <w:tc>
          <w:tcPr>
            <w:tcW w:w="80" w:type="dxa"/>
            <w:vAlign w:val="bottom"/>
            <w:shd w:val="clear" w:color="auto" w:fill="FAF6EF"/>
          </w:tcPr>
          <w:p>
            <w:pPr>
              <w:spacing w:after="0"/>
              <w:rPr>
                <w:sz w:val="22"/>
                <w:szCs w:val="22"/>
                <w:color w:val="auto"/>
              </w:rPr>
            </w:pPr>
          </w:p>
        </w:tc>
        <w:tc>
          <w:tcPr>
            <w:tcW w:w="6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2023</w:t>
            </w:r>
          </w:p>
        </w:tc>
        <w:tc>
          <w:tcPr>
            <w:tcW w:w="120" w:type="dxa"/>
            <w:vAlign w:val="bottom"/>
            <w:tcBorders>
              <w:right w:val="single" w:sz="8" w:color="7D7D7D"/>
            </w:tcBorders>
            <w:shd w:val="clear" w:color="auto" w:fill="FAF6EF"/>
          </w:tcPr>
          <w:p>
            <w:pPr>
              <w:spacing w:after="0"/>
              <w:rPr>
                <w:sz w:val="22"/>
                <w:szCs w:val="22"/>
                <w:color w:val="auto"/>
              </w:rPr>
            </w:pPr>
          </w:p>
        </w:tc>
        <w:tc>
          <w:tcPr>
            <w:tcW w:w="1120" w:type="dxa"/>
            <w:vAlign w:val="bottom"/>
            <w:tcBorders>
              <w:right w:val="single" w:sz="8" w:color="7D7D7D"/>
            </w:tcBorders>
            <w:shd w:val="clear" w:color="auto" w:fill="FAF6EF"/>
          </w:tcPr>
          <w:p>
            <w:pPr>
              <w:jc w:val="center"/>
              <w:ind w:right="62"/>
              <w:spacing w:after="0"/>
              <w:rPr>
                <w:sz w:val="20"/>
                <w:szCs w:val="20"/>
                <w:color w:val="auto"/>
              </w:rPr>
            </w:pPr>
            <w:r>
              <w:rPr>
                <w:rFonts w:ascii="Arial" w:cs="Arial" w:eastAsia="Arial" w:hAnsi="Arial"/>
                <w:sz w:val="16"/>
                <w:szCs w:val="16"/>
                <w:color w:val="auto"/>
              </w:rPr>
              <w:t>400,000</w:t>
            </w:r>
          </w:p>
        </w:tc>
        <w:tc>
          <w:tcPr>
            <w:tcW w:w="920" w:type="dxa"/>
            <w:vAlign w:val="bottom"/>
            <w:tcBorders>
              <w:right w:val="single" w:sz="8" w:color="7D7D7D"/>
            </w:tcBorders>
            <w:shd w:val="clear" w:color="auto" w:fill="FAF6EF"/>
          </w:tcPr>
          <w:p>
            <w:pPr>
              <w:jc w:val="right"/>
              <w:ind w:right="363"/>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D7D7D"/>
            </w:tcBorders>
            <w:shd w:val="clear" w:color="auto" w:fill="FAF6EF"/>
          </w:tcPr>
          <w:p>
            <w:pPr>
              <w:jc w:val="center"/>
              <w:ind w:right="66"/>
              <w:spacing w:after="0"/>
              <w:rPr>
                <w:sz w:val="20"/>
                <w:szCs w:val="20"/>
                <w:color w:val="auto"/>
              </w:rPr>
            </w:pPr>
            <w:r>
              <w:rPr>
                <w:rFonts w:ascii="Arial" w:cs="Arial" w:eastAsia="Arial" w:hAnsi="Arial"/>
                <w:sz w:val="16"/>
                <w:szCs w:val="16"/>
                <w:color w:val="auto"/>
                <w:w w:val="99"/>
              </w:rPr>
              <w:t>15,765,197</w:t>
            </w:r>
          </w:p>
        </w:tc>
        <w:tc>
          <w:tcPr>
            <w:tcW w:w="1560" w:type="dxa"/>
            <w:vAlign w:val="bottom"/>
            <w:tcBorders>
              <w:right w:val="single" w:sz="8" w:color="7D7D7D"/>
            </w:tcBorders>
            <w:shd w:val="clear" w:color="auto" w:fill="FAF6EF"/>
          </w:tcPr>
          <w:p>
            <w:pPr>
              <w:jc w:val="center"/>
              <w:ind w:right="63"/>
              <w:spacing w:after="0"/>
              <w:rPr>
                <w:sz w:val="20"/>
                <w:szCs w:val="20"/>
                <w:color w:val="auto"/>
              </w:rPr>
            </w:pPr>
            <w:r>
              <w:rPr>
                <w:rFonts w:ascii="Arial" w:cs="Arial" w:eastAsia="Arial" w:hAnsi="Arial"/>
                <w:sz w:val="16"/>
                <w:szCs w:val="16"/>
                <w:color w:val="auto"/>
              </w:rPr>
              <w:t>158,455</w:t>
            </w:r>
          </w:p>
        </w:tc>
        <w:tc>
          <w:tcPr>
            <w:tcW w:w="1500" w:type="dxa"/>
            <w:vAlign w:val="bottom"/>
            <w:tcBorders>
              <w:right w:val="single" w:sz="8" w:color="7D7D7D"/>
            </w:tcBorders>
            <w:shd w:val="clear" w:color="auto" w:fill="FAF6EF"/>
          </w:tcPr>
          <w:p>
            <w:pPr>
              <w:jc w:val="center"/>
              <w:ind w:right="65"/>
              <w:spacing w:after="0"/>
              <w:rPr>
                <w:sz w:val="20"/>
                <w:szCs w:val="20"/>
                <w:color w:val="auto"/>
              </w:rPr>
            </w:pPr>
            <w:r>
              <w:rPr>
                <w:rFonts w:ascii="Arial" w:cs="Arial" w:eastAsia="Arial" w:hAnsi="Arial"/>
                <w:sz w:val="16"/>
                <w:szCs w:val="16"/>
                <w:color w:val="auto"/>
                <w:w w:val="99"/>
              </w:rPr>
              <w:t>7,608</w:t>
            </w:r>
          </w:p>
        </w:tc>
        <w:tc>
          <w:tcPr>
            <w:tcW w:w="12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7"/>
              </w:rPr>
              <w:t>16,331,260</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56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80" w:type="dxa"/>
            <w:vAlign w:val="bottom"/>
            <w:shd w:val="clear" w:color="auto" w:fill="FAF6EF"/>
          </w:tcPr>
          <w:p>
            <w:pPr>
              <w:spacing w:after="0"/>
              <w:rPr>
                <w:sz w:val="17"/>
                <w:szCs w:val="17"/>
                <w:color w:val="auto"/>
              </w:rPr>
            </w:pPr>
          </w:p>
        </w:tc>
        <w:tc>
          <w:tcPr>
            <w:tcW w:w="6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rPr>
              <w:t>2022</w:t>
            </w:r>
          </w:p>
        </w:tc>
        <w:tc>
          <w:tcPr>
            <w:tcW w:w="120" w:type="dxa"/>
            <w:vAlign w:val="bottom"/>
            <w:tcBorders>
              <w:right w:val="single" w:sz="8" w:color="7D7D7D"/>
            </w:tcBorders>
            <w:shd w:val="clear" w:color="auto" w:fill="FAF6EF"/>
          </w:tcPr>
          <w:p>
            <w:pPr>
              <w:spacing w:after="0"/>
              <w:rPr>
                <w:sz w:val="17"/>
                <w:szCs w:val="17"/>
                <w:color w:val="auto"/>
              </w:rPr>
            </w:pPr>
          </w:p>
        </w:tc>
        <w:tc>
          <w:tcPr>
            <w:tcW w:w="1120" w:type="dxa"/>
            <w:vAlign w:val="bottom"/>
            <w:tcBorders>
              <w:right w:val="single" w:sz="8" w:color="7D7D7D"/>
            </w:tcBorders>
            <w:vMerge w:val="restart"/>
            <w:shd w:val="clear" w:color="auto" w:fill="FAF6EF"/>
          </w:tcPr>
          <w:p>
            <w:pPr>
              <w:jc w:val="center"/>
              <w:ind w:right="62"/>
              <w:spacing w:after="0"/>
              <w:rPr>
                <w:sz w:val="20"/>
                <w:szCs w:val="20"/>
                <w:color w:val="auto"/>
              </w:rPr>
            </w:pPr>
            <w:r>
              <w:rPr>
                <w:rFonts w:ascii="Arial" w:cs="Arial" w:eastAsia="Arial" w:hAnsi="Arial"/>
                <w:sz w:val="16"/>
                <w:szCs w:val="16"/>
                <w:color w:val="auto"/>
              </w:rPr>
              <w:t>400,000</w:t>
            </w:r>
          </w:p>
        </w:tc>
        <w:tc>
          <w:tcPr>
            <w:tcW w:w="920" w:type="dxa"/>
            <w:vAlign w:val="bottom"/>
            <w:tcBorders>
              <w:right w:val="single" w:sz="8" w:color="7D7D7D"/>
            </w:tcBorders>
            <w:vMerge w:val="restart"/>
            <w:shd w:val="clear" w:color="auto" w:fill="FAF6EF"/>
          </w:tcPr>
          <w:p>
            <w:pPr>
              <w:jc w:val="right"/>
              <w:ind w:right="363"/>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D7D7D"/>
            </w:tcBorders>
            <w:vMerge w:val="restart"/>
            <w:shd w:val="clear" w:color="auto" w:fill="FAF6EF"/>
          </w:tcPr>
          <w:p>
            <w:pPr>
              <w:jc w:val="center"/>
              <w:ind w:right="46"/>
              <w:spacing w:after="0"/>
              <w:rPr>
                <w:sz w:val="20"/>
                <w:szCs w:val="20"/>
                <w:color w:val="auto"/>
              </w:rPr>
            </w:pPr>
            <w:r>
              <w:rPr>
                <w:rFonts w:ascii="Arial" w:cs="Arial" w:eastAsia="Arial" w:hAnsi="Arial"/>
                <w:sz w:val="16"/>
                <w:szCs w:val="16"/>
                <w:color w:val="auto"/>
                <w:w w:val="98"/>
              </w:rPr>
              <w:t>6,244,480</w:t>
            </w:r>
          </w:p>
        </w:tc>
        <w:tc>
          <w:tcPr>
            <w:tcW w:w="1560" w:type="dxa"/>
            <w:vAlign w:val="bottom"/>
            <w:tcBorders>
              <w:right w:val="single" w:sz="8" w:color="7D7D7D"/>
            </w:tcBorders>
            <w:vMerge w:val="restart"/>
            <w:shd w:val="clear" w:color="auto" w:fill="FAF6EF"/>
          </w:tcPr>
          <w:p>
            <w:pPr>
              <w:jc w:val="center"/>
              <w:ind w:right="63"/>
              <w:spacing w:after="0"/>
              <w:rPr>
                <w:sz w:val="20"/>
                <w:szCs w:val="20"/>
                <w:color w:val="auto"/>
              </w:rPr>
            </w:pPr>
            <w:r>
              <w:rPr>
                <w:rFonts w:ascii="Arial" w:cs="Arial" w:eastAsia="Arial" w:hAnsi="Arial"/>
                <w:sz w:val="16"/>
                <w:szCs w:val="16"/>
                <w:color w:val="auto"/>
              </w:rPr>
              <w:t>387,787</w:t>
            </w:r>
          </w:p>
        </w:tc>
        <w:tc>
          <w:tcPr>
            <w:tcW w:w="1500" w:type="dxa"/>
            <w:vAlign w:val="bottom"/>
            <w:tcBorders>
              <w:right w:val="single" w:sz="8" w:color="7D7D7D"/>
            </w:tcBorders>
            <w:vMerge w:val="restart"/>
            <w:shd w:val="clear" w:color="auto" w:fill="FAF6EF"/>
          </w:tcPr>
          <w:p>
            <w:pPr>
              <w:jc w:val="center"/>
              <w:ind w:right="65"/>
              <w:spacing w:after="0"/>
              <w:rPr>
                <w:sz w:val="20"/>
                <w:szCs w:val="20"/>
                <w:color w:val="auto"/>
              </w:rPr>
            </w:pPr>
            <w:r>
              <w:rPr>
                <w:rFonts w:ascii="Arial" w:cs="Arial" w:eastAsia="Arial" w:hAnsi="Arial"/>
                <w:sz w:val="16"/>
                <w:szCs w:val="16"/>
                <w:color w:val="auto"/>
                <w:w w:val="99"/>
              </w:rPr>
              <w:t>6,108</w:t>
            </w:r>
          </w:p>
        </w:tc>
        <w:tc>
          <w:tcPr>
            <w:tcW w:w="128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7,038,375</w:t>
            </w:r>
          </w:p>
        </w:tc>
        <w:tc>
          <w:tcPr>
            <w:tcW w:w="20" w:type="dxa"/>
            <w:vAlign w:val="bottom"/>
            <w:shd w:val="clear" w:color="auto" w:fill="7D7D7D"/>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560" w:type="dxa"/>
            <w:vAlign w:val="bottom"/>
            <w:tcBorders>
              <w:left w:val="single" w:sz="8" w:color="7D7D7D"/>
              <w:right w:val="single" w:sz="8" w:color="7D7D7D"/>
            </w:tcBorders>
            <w:vMerge w:val="restart"/>
            <w:shd w:val="clear" w:color="auto" w:fill="FAF6EF"/>
          </w:tcPr>
          <w:p>
            <w:pPr>
              <w:ind w:left="120"/>
              <w:spacing w:after="0" w:line="171" w:lineRule="exact"/>
              <w:rPr>
                <w:sz w:val="20"/>
                <w:szCs w:val="20"/>
                <w:color w:val="auto"/>
              </w:rPr>
            </w:pPr>
            <w:r>
              <w:rPr>
                <w:rFonts w:ascii="Arial" w:cs="Arial" w:eastAsia="Arial" w:hAnsi="Arial"/>
                <w:sz w:val="16"/>
                <w:szCs w:val="16"/>
                <w:b w:val="1"/>
                <w:bCs w:val="1"/>
                <w:color w:val="auto"/>
              </w:rPr>
              <w:t>EVP and CCO</w:t>
            </w:r>
          </w:p>
        </w:tc>
        <w:tc>
          <w:tcPr>
            <w:tcW w:w="80" w:type="dxa"/>
            <w:vAlign w:val="bottom"/>
            <w:shd w:val="clear" w:color="auto" w:fill="FAF6EF"/>
          </w:tcPr>
          <w:p>
            <w:pPr>
              <w:spacing w:after="0"/>
              <w:rPr>
                <w:sz w:val="10"/>
                <w:szCs w:val="10"/>
                <w:color w:val="auto"/>
              </w:rPr>
            </w:pPr>
          </w:p>
        </w:tc>
        <w:tc>
          <w:tcPr>
            <w:tcW w:w="600" w:type="dxa"/>
            <w:vAlign w:val="bottom"/>
            <w:vMerge w:val="continue"/>
            <w:shd w:val="clear" w:color="auto" w:fill="FAF6EF"/>
          </w:tcPr>
          <w:p>
            <w:pPr>
              <w:spacing w:after="0"/>
              <w:rPr>
                <w:sz w:val="10"/>
                <w:szCs w:val="10"/>
                <w:color w:val="auto"/>
              </w:rPr>
            </w:pPr>
          </w:p>
        </w:tc>
        <w:tc>
          <w:tcPr>
            <w:tcW w:w="120" w:type="dxa"/>
            <w:vAlign w:val="bottom"/>
            <w:tcBorders>
              <w:right w:val="single" w:sz="8" w:color="7D7D7D"/>
            </w:tcBorders>
            <w:shd w:val="clear" w:color="auto" w:fill="FAF6EF"/>
          </w:tcPr>
          <w:p>
            <w:pPr>
              <w:spacing w:after="0"/>
              <w:rPr>
                <w:sz w:val="10"/>
                <w:szCs w:val="10"/>
                <w:color w:val="auto"/>
              </w:rPr>
            </w:pPr>
          </w:p>
        </w:tc>
        <w:tc>
          <w:tcPr>
            <w:tcW w:w="1120" w:type="dxa"/>
            <w:vAlign w:val="bottom"/>
            <w:tcBorders>
              <w:right w:val="single" w:sz="8" w:color="7D7D7D"/>
            </w:tcBorders>
            <w:vMerge w:val="continue"/>
            <w:shd w:val="clear" w:color="auto" w:fill="FAF6EF"/>
          </w:tcPr>
          <w:p>
            <w:pPr>
              <w:spacing w:after="0"/>
              <w:rPr>
                <w:sz w:val="10"/>
                <w:szCs w:val="10"/>
                <w:color w:val="auto"/>
              </w:rPr>
            </w:pPr>
          </w:p>
        </w:tc>
        <w:tc>
          <w:tcPr>
            <w:tcW w:w="920" w:type="dxa"/>
            <w:vAlign w:val="bottom"/>
            <w:tcBorders>
              <w:right w:val="single" w:sz="8" w:color="7D7D7D"/>
            </w:tcBorders>
            <w:vMerge w:val="continue"/>
            <w:shd w:val="clear" w:color="auto" w:fill="FAF6EF"/>
          </w:tcPr>
          <w:p>
            <w:pPr>
              <w:spacing w:after="0"/>
              <w:rPr>
                <w:sz w:val="10"/>
                <w:szCs w:val="10"/>
                <w:color w:val="auto"/>
              </w:rPr>
            </w:pPr>
          </w:p>
        </w:tc>
        <w:tc>
          <w:tcPr>
            <w:tcW w:w="1500" w:type="dxa"/>
            <w:vAlign w:val="bottom"/>
            <w:tcBorders>
              <w:right w:val="single" w:sz="8" w:color="7D7D7D"/>
            </w:tcBorders>
            <w:vMerge w:val="continue"/>
            <w:shd w:val="clear" w:color="auto" w:fill="FAF6EF"/>
          </w:tcPr>
          <w:p>
            <w:pPr>
              <w:spacing w:after="0"/>
              <w:rPr>
                <w:sz w:val="10"/>
                <w:szCs w:val="10"/>
                <w:color w:val="auto"/>
              </w:rPr>
            </w:pPr>
          </w:p>
        </w:tc>
        <w:tc>
          <w:tcPr>
            <w:tcW w:w="1560" w:type="dxa"/>
            <w:vAlign w:val="bottom"/>
            <w:tcBorders>
              <w:right w:val="single" w:sz="8" w:color="7D7D7D"/>
            </w:tcBorders>
            <w:vMerge w:val="continue"/>
            <w:shd w:val="clear" w:color="auto" w:fill="FAF6EF"/>
          </w:tcPr>
          <w:p>
            <w:pPr>
              <w:spacing w:after="0"/>
              <w:rPr>
                <w:sz w:val="10"/>
                <w:szCs w:val="10"/>
                <w:color w:val="auto"/>
              </w:rPr>
            </w:pPr>
          </w:p>
        </w:tc>
        <w:tc>
          <w:tcPr>
            <w:tcW w:w="1500" w:type="dxa"/>
            <w:vAlign w:val="bottom"/>
            <w:tcBorders>
              <w:right w:val="single" w:sz="8" w:color="7D7D7D"/>
            </w:tcBorders>
            <w:vMerge w:val="continue"/>
            <w:shd w:val="clear" w:color="auto" w:fill="FAF6EF"/>
          </w:tcPr>
          <w:p>
            <w:pPr>
              <w:spacing w:after="0"/>
              <w:rPr>
                <w:sz w:val="10"/>
                <w:szCs w:val="10"/>
                <w:color w:val="auto"/>
              </w:rPr>
            </w:pPr>
          </w:p>
        </w:tc>
        <w:tc>
          <w:tcPr>
            <w:tcW w:w="1280" w:type="dxa"/>
            <w:vAlign w:val="bottom"/>
            <w:vMerge w:val="continue"/>
            <w:shd w:val="clear" w:color="auto" w:fill="FAF6EF"/>
          </w:tcPr>
          <w:p>
            <w:pPr>
              <w:spacing w:after="0"/>
              <w:rPr>
                <w:sz w:val="10"/>
                <w:szCs w:val="10"/>
                <w:color w:val="auto"/>
              </w:rPr>
            </w:pP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560" w:type="dxa"/>
            <w:vAlign w:val="bottom"/>
            <w:tcBorders>
              <w:left w:val="single" w:sz="8" w:color="7D7D7D"/>
              <w:right w:val="single" w:sz="8" w:color="7D7D7D"/>
            </w:tcBorders>
            <w:vMerge w:val="continue"/>
            <w:shd w:val="clear" w:color="auto" w:fill="FAF6EF"/>
          </w:tcPr>
          <w:p>
            <w:pPr>
              <w:spacing w:after="0"/>
              <w:rPr>
                <w:sz w:val="4"/>
                <w:szCs w:val="4"/>
                <w:color w:val="auto"/>
              </w:rPr>
            </w:pPr>
          </w:p>
        </w:tc>
        <w:tc>
          <w:tcPr>
            <w:tcW w:w="80" w:type="dxa"/>
            <w:vAlign w:val="bottom"/>
            <w:shd w:val="clear" w:color="auto" w:fill="FAF6EF"/>
          </w:tcPr>
          <w:p>
            <w:pPr>
              <w:spacing w:after="0"/>
              <w:rPr>
                <w:sz w:val="4"/>
                <w:szCs w:val="4"/>
                <w:color w:val="auto"/>
              </w:rPr>
            </w:pPr>
          </w:p>
        </w:tc>
        <w:tc>
          <w:tcPr>
            <w:tcW w:w="600" w:type="dxa"/>
            <w:vAlign w:val="bottom"/>
            <w:shd w:val="clear" w:color="auto" w:fill="FAF6EF"/>
          </w:tcPr>
          <w:p>
            <w:pPr>
              <w:spacing w:after="0"/>
              <w:rPr>
                <w:sz w:val="4"/>
                <w:szCs w:val="4"/>
                <w:color w:val="auto"/>
              </w:rPr>
            </w:pPr>
          </w:p>
        </w:tc>
        <w:tc>
          <w:tcPr>
            <w:tcW w:w="120" w:type="dxa"/>
            <w:vAlign w:val="bottom"/>
            <w:tcBorders>
              <w:right w:val="single" w:sz="8" w:color="7D7D7D"/>
            </w:tcBorders>
            <w:shd w:val="clear" w:color="auto" w:fill="FAF6EF"/>
          </w:tcPr>
          <w:p>
            <w:pPr>
              <w:spacing w:after="0"/>
              <w:rPr>
                <w:sz w:val="4"/>
                <w:szCs w:val="4"/>
                <w:color w:val="auto"/>
              </w:rPr>
            </w:pPr>
          </w:p>
        </w:tc>
        <w:tc>
          <w:tcPr>
            <w:tcW w:w="1120" w:type="dxa"/>
            <w:vAlign w:val="bottom"/>
            <w:tcBorders>
              <w:right w:val="single" w:sz="8" w:color="7D7D7D"/>
            </w:tcBorders>
            <w:shd w:val="clear" w:color="auto" w:fill="FAF6EF"/>
          </w:tcPr>
          <w:p>
            <w:pPr>
              <w:spacing w:after="0"/>
              <w:rPr>
                <w:sz w:val="4"/>
                <w:szCs w:val="4"/>
                <w:color w:val="auto"/>
              </w:rPr>
            </w:pPr>
          </w:p>
        </w:tc>
        <w:tc>
          <w:tcPr>
            <w:tcW w:w="920" w:type="dxa"/>
            <w:vAlign w:val="bottom"/>
            <w:tcBorders>
              <w:right w:val="single" w:sz="8" w:color="7D7D7D"/>
            </w:tcBorders>
            <w:shd w:val="clear" w:color="auto" w:fill="FAF6EF"/>
          </w:tcPr>
          <w:p>
            <w:pPr>
              <w:spacing w:after="0"/>
              <w:rPr>
                <w:sz w:val="4"/>
                <w:szCs w:val="4"/>
                <w:color w:val="auto"/>
              </w:rPr>
            </w:pPr>
          </w:p>
        </w:tc>
        <w:tc>
          <w:tcPr>
            <w:tcW w:w="1500" w:type="dxa"/>
            <w:vAlign w:val="bottom"/>
            <w:tcBorders>
              <w:right w:val="single" w:sz="8" w:color="7D7D7D"/>
            </w:tcBorders>
            <w:shd w:val="clear" w:color="auto" w:fill="FAF6EF"/>
          </w:tcPr>
          <w:p>
            <w:pPr>
              <w:spacing w:after="0"/>
              <w:rPr>
                <w:sz w:val="4"/>
                <w:szCs w:val="4"/>
                <w:color w:val="auto"/>
              </w:rPr>
            </w:pPr>
          </w:p>
        </w:tc>
        <w:tc>
          <w:tcPr>
            <w:tcW w:w="1560" w:type="dxa"/>
            <w:vAlign w:val="bottom"/>
            <w:tcBorders>
              <w:right w:val="single" w:sz="8" w:color="7D7D7D"/>
            </w:tcBorders>
            <w:shd w:val="clear" w:color="auto" w:fill="FAF6EF"/>
          </w:tcPr>
          <w:p>
            <w:pPr>
              <w:spacing w:after="0"/>
              <w:rPr>
                <w:sz w:val="4"/>
                <w:szCs w:val="4"/>
                <w:color w:val="auto"/>
              </w:rPr>
            </w:pPr>
          </w:p>
        </w:tc>
        <w:tc>
          <w:tcPr>
            <w:tcW w:w="1500" w:type="dxa"/>
            <w:vAlign w:val="bottom"/>
            <w:tcBorders>
              <w:right w:val="single" w:sz="8" w:color="7D7D7D"/>
            </w:tcBorders>
            <w:shd w:val="clear" w:color="auto" w:fill="FAF6EF"/>
          </w:tcPr>
          <w:p>
            <w:pPr>
              <w:spacing w:after="0"/>
              <w:rPr>
                <w:sz w:val="4"/>
                <w:szCs w:val="4"/>
                <w:color w:val="auto"/>
              </w:rPr>
            </w:pPr>
          </w:p>
        </w:tc>
        <w:tc>
          <w:tcPr>
            <w:tcW w:w="1280" w:type="dxa"/>
            <w:vAlign w:val="bottom"/>
            <w:shd w:val="clear" w:color="auto" w:fill="FAF6EF"/>
          </w:tcPr>
          <w:p>
            <w:pPr>
              <w:spacing w:after="0"/>
              <w:rPr>
                <w:sz w:val="4"/>
                <w:szCs w:val="4"/>
                <w:color w:val="auto"/>
              </w:rPr>
            </w:pPr>
          </w:p>
        </w:tc>
        <w:tc>
          <w:tcPr>
            <w:tcW w:w="20" w:type="dxa"/>
            <w:vAlign w:val="bottom"/>
            <w:shd w:val="clear" w:color="auto" w:fill="7D7D7D"/>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560" w:type="dxa"/>
            <w:vAlign w:val="bottom"/>
            <w:tcBorders>
              <w:left w:val="single" w:sz="8" w:color="7D7D7D"/>
              <w:bottom w:val="single" w:sz="8" w:color="FAF6EF"/>
              <w:right w:val="single" w:sz="8" w:color="7D7D7D"/>
            </w:tcBorders>
            <w:shd w:val="clear" w:color="auto" w:fill="FAF6EF"/>
          </w:tcPr>
          <w:p>
            <w:pPr>
              <w:spacing w:after="0"/>
              <w:rPr>
                <w:sz w:val="24"/>
                <w:szCs w:val="24"/>
                <w:color w:val="auto"/>
              </w:rPr>
            </w:pPr>
          </w:p>
        </w:tc>
        <w:tc>
          <w:tcPr>
            <w:tcW w:w="80" w:type="dxa"/>
            <w:vAlign w:val="bottom"/>
            <w:tcBorders>
              <w:bottom w:val="single" w:sz="8" w:color="FAF6EF"/>
            </w:tcBorders>
            <w:shd w:val="clear" w:color="auto" w:fill="FAF6EF"/>
          </w:tcPr>
          <w:p>
            <w:pPr>
              <w:spacing w:after="0"/>
              <w:rPr>
                <w:sz w:val="24"/>
                <w:szCs w:val="24"/>
                <w:color w:val="auto"/>
              </w:rPr>
            </w:pPr>
          </w:p>
        </w:tc>
        <w:tc>
          <w:tcPr>
            <w:tcW w:w="60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FAF6EF"/>
              <w:right w:val="single" w:sz="8" w:color="7D7D7D"/>
            </w:tcBorders>
            <w:shd w:val="clear" w:color="auto" w:fill="FAF6EF"/>
          </w:tcPr>
          <w:p>
            <w:pPr>
              <w:spacing w:after="0"/>
              <w:rPr>
                <w:sz w:val="24"/>
                <w:szCs w:val="24"/>
                <w:color w:val="auto"/>
              </w:rPr>
            </w:pPr>
          </w:p>
        </w:tc>
        <w:tc>
          <w:tcPr>
            <w:tcW w:w="1120" w:type="dxa"/>
            <w:vAlign w:val="bottom"/>
            <w:tcBorders>
              <w:bottom w:val="single" w:sz="8" w:color="FAF6EF"/>
              <w:right w:val="single" w:sz="8" w:color="7D7D7D"/>
            </w:tcBorders>
            <w:shd w:val="clear" w:color="auto" w:fill="FAF6EF"/>
          </w:tcPr>
          <w:p>
            <w:pPr>
              <w:jc w:val="center"/>
              <w:ind w:right="62"/>
              <w:spacing w:after="0"/>
              <w:rPr>
                <w:sz w:val="20"/>
                <w:szCs w:val="20"/>
                <w:color w:val="auto"/>
              </w:rPr>
            </w:pPr>
            <w:r>
              <w:rPr>
                <w:rFonts w:ascii="Arial" w:cs="Arial" w:eastAsia="Arial" w:hAnsi="Arial"/>
                <w:sz w:val="16"/>
                <w:szCs w:val="16"/>
                <w:color w:val="auto"/>
              </w:rPr>
              <w:t>400,000</w:t>
            </w:r>
          </w:p>
        </w:tc>
        <w:tc>
          <w:tcPr>
            <w:tcW w:w="920" w:type="dxa"/>
            <w:vAlign w:val="bottom"/>
            <w:tcBorders>
              <w:bottom w:val="single" w:sz="8" w:color="FAF6EF"/>
              <w:right w:val="single" w:sz="8" w:color="7D7D7D"/>
            </w:tcBorders>
            <w:shd w:val="clear" w:color="auto" w:fill="FAF6EF"/>
          </w:tcPr>
          <w:p>
            <w:pPr>
              <w:jc w:val="right"/>
              <w:ind w:right="363"/>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FAF6EF"/>
              <w:right w:val="single" w:sz="8" w:color="7D7D7D"/>
            </w:tcBorders>
            <w:shd w:val="clear" w:color="auto" w:fill="FAF6EF"/>
          </w:tcPr>
          <w:p>
            <w:pPr>
              <w:jc w:val="center"/>
              <w:ind w:right="46"/>
              <w:spacing w:after="0"/>
              <w:rPr>
                <w:sz w:val="20"/>
                <w:szCs w:val="20"/>
                <w:color w:val="auto"/>
              </w:rPr>
            </w:pPr>
            <w:r>
              <w:rPr>
                <w:rFonts w:ascii="Arial" w:cs="Arial" w:eastAsia="Arial" w:hAnsi="Arial"/>
                <w:sz w:val="16"/>
                <w:szCs w:val="16"/>
                <w:color w:val="auto"/>
                <w:w w:val="98"/>
              </w:rPr>
              <w:t>7,324,400</w:t>
            </w:r>
          </w:p>
        </w:tc>
        <w:tc>
          <w:tcPr>
            <w:tcW w:w="1560" w:type="dxa"/>
            <w:vAlign w:val="bottom"/>
            <w:tcBorders>
              <w:bottom w:val="single" w:sz="8" w:color="FAF6EF"/>
              <w:right w:val="single" w:sz="8" w:color="7D7D7D"/>
            </w:tcBorders>
            <w:shd w:val="clear" w:color="auto" w:fill="FAF6EF"/>
          </w:tcPr>
          <w:p>
            <w:pPr>
              <w:jc w:val="center"/>
              <w:ind w:right="63"/>
              <w:spacing w:after="0"/>
              <w:rPr>
                <w:sz w:val="20"/>
                <w:szCs w:val="20"/>
                <w:color w:val="auto"/>
              </w:rPr>
            </w:pPr>
            <w:r>
              <w:rPr>
                <w:rFonts w:ascii="Arial" w:cs="Arial" w:eastAsia="Arial" w:hAnsi="Arial"/>
                <w:sz w:val="16"/>
                <w:szCs w:val="16"/>
                <w:color w:val="auto"/>
              </w:rPr>
              <w:t>203,735</w:t>
            </w:r>
          </w:p>
        </w:tc>
        <w:tc>
          <w:tcPr>
            <w:tcW w:w="1500" w:type="dxa"/>
            <w:vAlign w:val="bottom"/>
            <w:tcBorders>
              <w:bottom w:val="single" w:sz="8" w:color="FAF6EF"/>
              <w:right w:val="single" w:sz="8" w:color="7D7D7D"/>
            </w:tcBorders>
            <w:shd w:val="clear" w:color="auto" w:fill="FAF6EF"/>
          </w:tcPr>
          <w:p>
            <w:pPr>
              <w:jc w:val="center"/>
              <w:ind w:right="65"/>
              <w:spacing w:after="0"/>
              <w:rPr>
                <w:sz w:val="20"/>
                <w:szCs w:val="20"/>
                <w:color w:val="auto"/>
              </w:rPr>
            </w:pPr>
            <w:r>
              <w:rPr>
                <w:rFonts w:ascii="Arial" w:cs="Arial" w:eastAsia="Arial" w:hAnsi="Arial"/>
                <w:sz w:val="16"/>
                <w:szCs w:val="16"/>
                <w:color w:val="auto"/>
                <w:w w:val="99"/>
              </w:rPr>
              <w:t>6,108</w:t>
            </w:r>
          </w:p>
        </w:tc>
        <w:tc>
          <w:tcPr>
            <w:tcW w:w="128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98"/>
              </w:rPr>
              <w:t>7,934,243</w:t>
            </w:r>
          </w:p>
        </w:tc>
        <w:tc>
          <w:tcPr>
            <w:tcW w:w="20" w:type="dxa"/>
            <w:vAlign w:val="bottom"/>
            <w:tcBorders>
              <w:bottom w:val="single" w:sz="8" w:color="7D7D7D"/>
            </w:tcBorders>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560" w:type="dxa"/>
            <w:vAlign w:val="bottom"/>
            <w:tcBorders>
              <w:left w:val="single" w:sz="8" w:color="7D7D7D"/>
              <w:right w:val="single" w:sz="8" w:color="7D7D7D"/>
            </w:tcBorders>
            <w:vMerge w:val="restart"/>
          </w:tcPr>
          <w:p>
            <w:pPr>
              <w:ind w:left="120"/>
              <w:spacing w:after="0"/>
              <w:rPr>
                <w:sz w:val="20"/>
                <w:szCs w:val="20"/>
                <w:color w:val="auto"/>
              </w:rPr>
            </w:pPr>
            <w:r>
              <w:rPr>
                <w:rFonts w:ascii="Arial" w:cs="Arial" w:eastAsia="Arial" w:hAnsi="Arial"/>
                <w:sz w:val="16"/>
                <w:szCs w:val="16"/>
                <w:b w:val="1"/>
                <w:bCs w:val="1"/>
                <w:color w:val="auto"/>
              </w:rPr>
              <w:t>Jeffrey McNeil</w:t>
            </w:r>
          </w:p>
        </w:tc>
        <w:tc>
          <w:tcPr>
            <w:tcW w:w="680" w:type="dxa"/>
            <w:vAlign w:val="bottom"/>
            <w:gridSpan w:val="2"/>
          </w:tcPr>
          <w:p>
            <w:pPr>
              <w:jc w:val="center"/>
              <w:ind w:left="2"/>
              <w:spacing w:after="0"/>
              <w:rPr>
                <w:sz w:val="20"/>
                <w:szCs w:val="20"/>
                <w:color w:val="auto"/>
              </w:rPr>
            </w:pPr>
            <w:r>
              <w:rPr>
                <w:rFonts w:ascii="Arial" w:cs="Arial" w:eastAsia="Arial" w:hAnsi="Arial"/>
                <w:sz w:val="16"/>
                <w:szCs w:val="16"/>
                <w:color w:val="auto"/>
              </w:rPr>
              <w:t>2023</w:t>
            </w:r>
          </w:p>
        </w:tc>
        <w:tc>
          <w:tcPr>
            <w:tcW w:w="120" w:type="dxa"/>
            <w:vAlign w:val="bottom"/>
            <w:tcBorders>
              <w:right w:val="single" w:sz="8" w:color="7D7D7D"/>
            </w:tcBorders>
          </w:tcPr>
          <w:p>
            <w:pPr>
              <w:spacing w:after="0"/>
              <w:rPr>
                <w:sz w:val="22"/>
                <w:szCs w:val="22"/>
                <w:color w:val="auto"/>
              </w:rPr>
            </w:pPr>
          </w:p>
        </w:tc>
        <w:tc>
          <w:tcPr>
            <w:tcW w:w="1120" w:type="dxa"/>
            <w:vAlign w:val="bottom"/>
            <w:tcBorders>
              <w:right w:val="single" w:sz="8" w:color="7D7D7D"/>
            </w:tcBorders>
          </w:tcPr>
          <w:p>
            <w:pPr>
              <w:jc w:val="center"/>
              <w:ind w:right="62"/>
              <w:spacing w:after="0"/>
              <w:rPr>
                <w:sz w:val="20"/>
                <w:szCs w:val="20"/>
                <w:color w:val="auto"/>
              </w:rPr>
            </w:pPr>
            <w:r>
              <w:rPr>
                <w:rFonts w:ascii="Arial" w:cs="Arial" w:eastAsia="Arial" w:hAnsi="Arial"/>
                <w:sz w:val="16"/>
                <w:szCs w:val="16"/>
                <w:color w:val="auto"/>
              </w:rPr>
              <w:t>258,333</w:t>
            </w:r>
          </w:p>
        </w:tc>
        <w:tc>
          <w:tcPr>
            <w:tcW w:w="920" w:type="dxa"/>
            <w:vAlign w:val="bottom"/>
            <w:tcBorders>
              <w:right w:val="single" w:sz="8" w:color="7D7D7D"/>
            </w:tcBorders>
          </w:tcPr>
          <w:p>
            <w:pPr>
              <w:jc w:val="right"/>
              <w:ind w:right="363"/>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D7D7D"/>
            </w:tcBorders>
          </w:tcPr>
          <w:p>
            <w:pPr>
              <w:jc w:val="center"/>
              <w:ind w:right="46"/>
              <w:spacing w:after="0"/>
              <w:rPr>
                <w:sz w:val="20"/>
                <w:szCs w:val="20"/>
                <w:color w:val="auto"/>
              </w:rPr>
            </w:pPr>
            <w:r>
              <w:rPr>
                <w:rFonts w:ascii="Arial" w:cs="Arial" w:eastAsia="Arial" w:hAnsi="Arial"/>
                <w:sz w:val="16"/>
                <w:szCs w:val="16"/>
                <w:color w:val="auto"/>
                <w:w w:val="98"/>
              </w:rPr>
              <w:t>3,354,150</w:t>
            </w:r>
          </w:p>
        </w:tc>
        <w:tc>
          <w:tcPr>
            <w:tcW w:w="1560" w:type="dxa"/>
            <w:vAlign w:val="bottom"/>
            <w:tcBorders>
              <w:right w:val="single" w:sz="8" w:color="7D7D7D"/>
            </w:tcBorders>
          </w:tcPr>
          <w:p>
            <w:pPr>
              <w:jc w:val="center"/>
              <w:ind w:right="63"/>
              <w:spacing w:after="0"/>
              <w:rPr>
                <w:sz w:val="20"/>
                <w:szCs w:val="20"/>
                <w:color w:val="auto"/>
              </w:rPr>
            </w:pPr>
            <w:r>
              <w:rPr>
                <w:rFonts w:ascii="Arial" w:cs="Arial" w:eastAsia="Arial" w:hAnsi="Arial"/>
                <w:sz w:val="16"/>
                <w:szCs w:val="16"/>
                <w:color w:val="auto"/>
              </w:rPr>
              <w:t>106,003</w:t>
            </w:r>
          </w:p>
        </w:tc>
        <w:tc>
          <w:tcPr>
            <w:tcW w:w="1500" w:type="dxa"/>
            <w:vAlign w:val="bottom"/>
            <w:tcBorders>
              <w:right w:val="single" w:sz="8" w:color="7D7D7D"/>
            </w:tcBorders>
          </w:tcPr>
          <w:p>
            <w:pPr>
              <w:jc w:val="center"/>
              <w:ind w:right="65"/>
              <w:spacing w:after="0"/>
              <w:rPr>
                <w:sz w:val="20"/>
                <w:szCs w:val="20"/>
                <w:color w:val="auto"/>
              </w:rPr>
            </w:pPr>
            <w:r>
              <w:rPr>
                <w:rFonts w:ascii="Arial" w:cs="Arial" w:eastAsia="Arial" w:hAnsi="Arial"/>
                <w:sz w:val="16"/>
                <w:szCs w:val="16"/>
                <w:color w:val="auto"/>
                <w:w w:val="99"/>
              </w:rPr>
              <w:t>5,863</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3,724,349</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73"/>
        </w:trPr>
        <w:tc>
          <w:tcPr>
            <w:tcW w:w="2560" w:type="dxa"/>
            <w:vAlign w:val="bottom"/>
            <w:tcBorders>
              <w:left w:val="single" w:sz="8" w:color="7D7D7D"/>
              <w:right w:val="single" w:sz="8" w:color="7D7D7D"/>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Borders>
              <w:right w:val="single" w:sz="8" w:color="7D7D7D"/>
            </w:tcBorders>
          </w:tcPr>
          <w:p>
            <w:pPr>
              <w:spacing w:after="0"/>
              <w:rPr>
                <w:sz w:val="6"/>
                <w:szCs w:val="6"/>
                <w:color w:val="auto"/>
              </w:rPr>
            </w:pPr>
          </w:p>
        </w:tc>
        <w:tc>
          <w:tcPr>
            <w:tcW w:w="1120" w:type="dxa"/>
            <w:vAlign w:val="bottom"/>
            <w:tcBorders>
              <w:right w:val="single" w:sz="8" w:color="7D7D7D"/>
            </w:tcBorders>
          </w:tcPr>
          <w:p>
            <w:pPr>
              <w:spacing w:after="0"/>
              <w:rPr>
                <w:sz w:val="6"/>
                <w:szCs w:val="6"/>
                <w:color w:val="auto"/>
              </w:rPr>
            </w:pPr>
          </w:p>
        </w:tc>
        <w:tc>
          <w:tcPr>
            <w:tcW w:w="920" w:type="dxa"/>
            <w:vAlign w:val="bottom"/>
            <w:tcBorders>
              <w:right w:val="single" w:sz="8" w:color="7D7D7D"/>
            </w:tcBorders>
          </w:tcPr>
          <w:p>
            <w:pPr>
              <w:spacing w:after="0"/>
              <w:rPr>
                <w:sz w:val="6"/>
                <w:szCs w:val="6"/>
                <w:color w:val="auto"/>
              </w:rPr>
            </w:pPr>
          </w:p>
        </w:tc>
        <w:tc>
          <w:tcPr>
            <w:tcW w:w="1500" w:type="dxa"/>
            <w:vAlign w:val="bottom"/>
            <w:tcBorders>
              <w:right w:val="single" w:sz="8" w:color="7D7D7D"/>
            </w:tcBorders>
          </w:tcPr>
          <w:p>
            <w:pPr>
              <w:spacing w:after="0"/>
              <w:rPr>
                <w:sz w:val="6"/>
                <w:szCs w:val="6"/>
                <w:color w:val="auto"/>
              </w:rPr>
            </w:pPr>
          </w:p>
        </w:tc>
        <w:tc>
          <w:tcPr>
            <w:tcW w:w="1560" w:type="dxa"/>
            <w:vAlign w:val="bottom"/>
            <w:tcBorders>
              <w:right w:val="single" w:sz="8" w:color="7D7D7D"/>
            </w:tcBorders>
          </w:tcPr>
          <w:p>
            <w:pPr>
              <w:spacing w:after="0"/>
              <w:rPr>
                <w:sz w:val="6"/>
                <w:szCs w:val="6"/>
                <w:color w:val="auto"/>
              </w:rPr>
            </w:pPr>
          </w:p>
        </w:tc>
        <w:tc>
          <w:tcPr>
            <w:tcW w:w="1500" w:type="dxa"/>
            <w:vAlign w:val="bottom"/>
            <w:tcBorders>
              <w:right w:val="single" w:sz="8" w:color="7D7D7D"/>
            </w:tcBorders>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7D7D7D"/>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5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Chief Advisor and Former EVP</w:t>
            </w:r>
          </w:p>
        </w:tc>
        <w:tc>
          <w:tcPr>
            <w:tcW w:w="680" w:type="dxa"/>
            <w:vAlign w:val="bottom"/>
            <w:gridSpan w:val="2"/>
          </w:tcPr>
          <w:p>
            <w:pPr>
              <w:jc w:val="center"/>
              <w:ind w:left="2"/>
              <w:spacing w:after="0"/>
              <w:rPr>
                <w:sz w:val="20"/>
                <w:szCs w:val="20"/>
                <w:color w:val="auto"/>
              </w:rPr>
            </w:pPr>
            <w:r>
              <w:rPr>
                <w:rFonts w:ascii="Arial" w:cs="Arial" w:eastAsia="Arial" w:hAnsi="Arial"/>
                <w:sz w:val="16"/>
                <w:szCs w:val="16"/>
                <w:color w:val="auto"/>
              </w:rPr>
              <w:t>2022</w:t>
            </w:r>
          </w:p>
        </w:tc>
        <w:tc>
          <w:tcPr>
            <w:tcW w:w="120" w:type="dxa"/>
            <w:vAlign w:val="bottom"/>
            <w:tcBorders>
              <w:right w:val="single" w:sz="8" w:color="7D7D7D"/>
            </w:tcBorders>
          </w:tcPr>
          <w:p>
            <w:pPr>
              <w:spacing w:after="0"/>
              <w:rPr>
                <w:sz w:val="18"/>
                <w:szCs w:val="18"/>
                <w:color w:val="auto"/>
              </w:rPr>
            </w:pPr>
          </w:p>
        </w:tc>
        <w:tc>
          <w:tcPr>
            <w:tcW w:w="1120" w:type="dxa"/>
            <w:vAlign w:val="bottom"/>
            <w:tcBorders>
              <w:right w:val="single" w:sz="8" w:color="7D7D7D"/>
            </w:tcBorders>
          </w:tcPr>
          <w:p>
            <w:pPr>
              <w:jc w:val="center"/>
              <w:ind w:right="62"/>
              <w:spacing w:after="0"/>
              <w:rPr>
                <w:sz w:val="20"/>
                <w:szCs w:val="20"/>
                <w:color w:val="auto"/>
              </w:rPr>
            </w:pPr>
            <w:r>
              <w:rPr>
                <w:rFonts w:ascii="Arial" w:cs="Arial" w:eastAsia="Arial" w:hAnsi="Arial"/>
                <w:sz w:val="16"/>
                <w:szCs w:val="16"/>
                <w:color w:val="auto"/>
              </w:rPr>
              <w:t>400,000</w:t>
            </w:r>
          </w:p>
        </w:tc>
        <w:tc>
          <w:tcPr>
            <w:tcW w:w="920" w:type="dxa"/>
            <w:vAlign w:val="bottom"/>
            <w:tcBorders>
              <w:right w:val="single" w:sz="8" w:color="7D7D7D"/>
            </w:tcBorders>
          </w:tcPr>
          <w:p>
            <w:pPr>
              <w:jc w:val="right"/>
              <w:ind w:right="363"/>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D7D7D"/>
            </w:tcBorders>
          </w:tcPr>
          <w:p>
            <w:pPr>
              <w:jc w:val="center"/>
              <w:ind w:right="46"/>
              <w:spacing w:after="0"/>
              <w:rPr>
                <w:sz w:val="20"/>
                <w:szCs w:val="20"/>
                <w:color w:val="auto"/>
              </w:rPr>
            </w:pPr>
            <w:r>
              <w:rPr>
                <w:rFonts w:ascii="Arial" w:cs="Arial" w:eastAsia="Arial" w:hAnsi="Arial"/>
                <w:sz w:val="16"/>
                <w:szCs w:val="16"/>
                <w:color w:val="auto"/>
                <w:w w:val="98"/>
              </w:rPr>
              <w:t>7,805,600</w:t>
            </w:r>
          </w:p>
        </w:tc>
        <w:tc>
          <w:tcPr>
            <w:tcW w:w="1560" w:type="dxa"/>
            <w:vAlign w:val="bottom"/>
            <w:tcBorders>
              <w:right w:val="single" w:sz="8" w:color="7D7D7D"/>
            </w:tcBorders>
          </w:tcPr>
          <w:p>
            <w:pPr>
              <w:jc w:val="center"/>
              <w:ind w:right="63"/>
              <w:spacing w:after="0"/>
              <w:rPr>
                <w:sz w:val="20"/>
                <w:szCs w:val="20"/>
                <w:color w:val="auto"/>
              </w:rPr>
            </w:pPr>
            <w:r>
              <w:rPr>
                <w:rFonts w:ascii="Arial" w:cs="Arial" w:eastAsia="Arial" w:hAnsi="Arial"/>
                <w:sz w:val="16"/>
                <w:szCs w:val="16"/>
                <w:color w:val="auto"/>
              </w:rPr>
              <w:t>403,707</w:t>
            </w:r>
          </w:p>
        </w:tc>
        <w:tc>
          <w:tcPr>
            <w:tcW w:w="1500" w:type="dxa"/>
            <w:vAlign w:val="bottom"/>
            <w:tcBorders>
              <w:right w:val="single" w:sz="8" w:color="7D7D7D"/>
            </w:tcBorders>
          </w:tcPr>
          <w:p>
            <w:pPr>
              <w:jc w:val="center"/>
              <w:ind w:right="65"/>
              <w:spacing w:after="0"/>
              <w:rPr>
                <w:sz w:val="20"/>
                <w:szCs w:val="20"/>
                <w:color w:val="auto"/>
              </w:rPr>
            </w:pPr>
            <w:r>
              <w:rPr>
                <w:rFonts w:ascii="Arial" w:cs="Arial" w:eastAsia="Arial" w:hAnsi="Arial"/>
                <w:sz w:val="16"/>
                <w:szCs w:val="16"/>
                <w:color w:val="auto"/>
                <w:w w:val="99"/>
              </w:rPr>
              <w:t>4,644</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8,613,951</w:t>
            </w:r>
          </w:p>
        </w:tc>
        <w:tc>
          <w:tcPr>
            <w:tcW w:w="20" w:type="dxa"/>
            <w:vAlign w:val="bottom"/>
            <w:shd w:val="clear" w:color="auto" w:fill="7D7D7D"/>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56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and COO</w:t>
            </w:r>
            <w:r>
              <w:rPr>
                <w:rFonts w:ascii="Arial" w:cs="Arial" w:eastAsia="Arial" w:hAnsi="Arial"/>
                <w:sz w:val="20"/>
                <w:szCs w:val="20"/>
                <w:b w:val="1"/>
                <w:bCs w:val="1"/>
                <w:color w:val="auto"/>
                <w:vertAlign w:val="superscript"/>
              </w:rPr>
              <w:t>(4)</w:t>
            </w:r>
          </w:p>
        </w:tc>
        <w:tc>
          <w:tcPr>
            <w:tcW w:w="680" w:type="dxa"/>
            <w:vAlign w:val="bottom"/>
            <w:gridSpan w:val="2"/>
            <w:vMerge w:val="restart"/>
          </w:tcPr>
          <w:p>
            <w:pPr>
              <w:jc w:val="center"/>
              <w:ind w:left="2"/>
              <w:spacing w:after="0"/>
              <w:rPr>
                <w:sz w:val="20"/>
                <w:szCs w:val="20"/>
                <w:color w:val="auto"/>
              </w:rPr>
            </w:pPr>
            <w:r>
              <w:rPr>
                <w:rFonts w:ascii="Arial" w:cs="Arial" w:eastAsia="Arial" w:hAnsi="Arial"/>
                <w:sz w:val="16"/>
                <w:szCs w:val="16"/>
                <w:color w:val="auto"/>
              </w:rPr>
              <w:t>2021</w:t>
            </w:r>
          </w:p>
        </w:tc>
        <w:tc>
          <w:tcPr>
            <w:tcW w:w="120" w:type="dxa"/>
            <w:vAlign w:val="bottom"/>
            <w:tcBorders>
              <w:right w:val="single" w:sz="8" w:color="7D7D7D"/>
            </w:tcBorders>
          </w:tcPr>
          <w:p>
            <w:pPr>
              <w:spacing w:after="0"/>
              <w:rPr>
                <w:sz w:val="24"/>
                <w:szCs w:val="24"/>
                <w:color w:val="auto"/>
              </w:rPr>
            </w:pPr>
          </w:p>
        </w:tc>
        <w:tc>
          <w:tcPr>
            <w:tcW w:w="1120" w:type="dxa"/>
            <w:vAlign w:val="bottom"/>
            <w:tcBorders>
              <w:right w:val="single" w:sz="8" w:color="7D7D7D"/>
            </w:tcBorders>
            <w:vMerge w:val="restart"/>
          </w:tcPr>
          <w:p>
            <w:pPr>
              <w:jc w:val="center"/>
              <w:ind w:right="62"/>
              <w:spacing w:after="0"/>
              <w:rPr>
                <w:sz w:val="20"/>
                <w:szCs w:val="20"/>
                <w:color w:val="auto"/>
              </w:rPr>
            </w:pPr>
            <w:r>
              <w:rPr>
                <w:rFonts w:ascii="Arial" w:cs="Arial" w:eastAsia="Arial" w:hAnsi="Arial"/>
                <w:sz w:val="16"/>
                <w:szCs w:val="16"/>
                <w:color w:val="auto"/>
              </w:rPr>
              <w:t>379,065</w:t>
            </w:r>
          </w:p>
        </w:tc>
        <w:tc>
          <w:tcPr>
            <w:tcW w:w="920" w:type="dxa"/>
            <w:vAlign w:val="bottom"/>
            <w:tcBorders>
              <w:right w:val="single" w:sz="8" w:color="7D7D7D"/>
            </w:tcBorders>
            <w:vMerge w:val="restart"/>
          </w:tcPr>
          <w:p>
            <w:pPr>
              <w:jc w:val="right"/>
              <w:ind w:right="363"/>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7D7D7D"/>
            </w:tcBorders>
            <w:vMerge w:val="restart"/>
          </w:tcPr>
          <w:p>
            <w:pPr>
              <w:jc w:val="center"/>
              <w:ind w:right="46"/>
              <w:spacing w:after="0"/>
              <w:rPr>
                <w:sz w:val="20"/>
                <w:szCs w:val="20"/>
                <w:color w:val="auto"/>
              </w:rPr>
            </w:pPr>
            <w:r>
              <w:rPr>
                <w:rFonts w:ascii="Arial" w:cs="Arial" w:eastAsia="Arial" w:hAnsi="Arial"/>
                <w:sz w:val="16"/>
                <w:szCs w:val="16"/>
                <w:color w:val="auto"/>
                <w:w w:val="98"/>
              </w:rPr>
              <w:t>9,155,500</w:t>
            </w:r>
          </w:p>
        </w:tc>
        <w:tc>
          <w:tcPr>
            <w:tcW w:w="1560" w:type="dxa"/>
            <w:vAlign w:val="bottom"/>
            <w:tcBorders>
              <w:right w:val="single" w:sz="8" w:color="7D7D7D"/>
            </w:tcBorders>
            <w:vMerge w:val="restart"/>
          </w:tcPr>
          <w:p>
            <w:pPr>
              <w:jc w:val="center"/>
              <w:ind w:right="63"/>
              <w:spacing w:after="0"/>
              <w:rPr>
                <w:sz w:val="20"/>
                <w:szCs w:val="20"/>
                <w:color w:val="auto"/>
              </w:rPr>
            </w:pPr>
            <w:r>
              <w:rPr>
                <w:rFonts w:ascii="Arial" w:cs="Arial" w:eastAsia="Arial" w:hAnsi="Arial"/>
                <w:sz w:val="16"/>
                <w:szCs w:val="16"/>
                <w:color w:val="auto"/>
                <w:w w:val="93"/>
              </w:rPr>
              <w:t>167,113</w:t>
            </w:r>
          </w:p>
        </w:tc>
        <w:tc>
          <w:tcPr>
            <w:tcW w:w="1500" w:type="dxa"/>
            <w:vAlign w:val="bottom"/>
            <w:tcBorders>
              <w:right w:val="single" w:sz="8" w:color="7D7D7D"/>
            </w:tcBorders>
            <w:vMerge w:val="restart"/>
          </w:tcPr>
          <w:p>
            <w:pPr>
              <w:jc w:val="center"/>
              <w:ind w:right="65"/>
              <w:spacing w:after="0"/>
              <w:rPr>
                <w:sz w:val="20"/>
                <w:szCs w:val="20"/>
                <w:color w:val="auto"/>
              </w:rPr>
            </w:pPr>
            <w:r>
              <w:rPr>
                <w:rFonts w:ascii="Arial" w:cs="Arial" w:eastAsia="Arial" w:hAnsi="Arial"/>
                <w:sz w:val="16"/>
                <w:szCs w:val="16"/>
                <w:color w:val="auto"/>
                <w:w w:val="99"/>
              </w:rPr>
              <w:t>4,710</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8"/>
              </w:rPr>
              <w:t>9,706,388</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560" w:type="dxa"/>
            <w:vAlign w:val="bottom"/>
            <w:tcBorders>
              <w:left w:val="single" w:sz="8" w:color="7D7D7D"/>
              <w:right w:val="single" w:sz="8" w:color="7D7D7D"/>
            </w:tcBorders>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20" w:type="dxa"/>
            <w:vAlign w:val="bottom"/>
            <w:tcBorders>
              <w:right w:val="single" w:sz="8" w:color="7D7D7D"/>
            </w:tcBorders>
          </w:tcPr>
          <w:p>
            <w:pPr>
              <w:spacing w:after="0"/>
              <w:rPr>
                <w:sz w:val="4"/>
                <w:szCs w:val="4"/>
                <w:color w:val="auto"/>
              </w:rPr>
            </w:pPr>
          </w:p>
        </w:tc>
        <w:tc>
          <w:tcPr>
            <w:tcW w:w="1120" w:type="dxa"/>
            <w:vAlign w:val="bottom"/>
            <w:tcBorders>
              <w:right w:val="single" w:sz="8" w:color="7D7D7D"/>
            </w:tcBorders>
            <w:vMerge w:val="continue"/>
          </w:tcPr>
          <w:p>
            <w:pPr>
              <w:spacing w:after="0"/>
              <w:rPr>
                <w:sz w:val="4"/>
                <w:szCs w:val="4"/>
                <w:color w:val="auto"/>
              </w:rPr>
            </w:pPr>
          </w:p>
        </w:tc>
        <w:tc>
          <w:tcPr>
            <w:tcW w:w="920" w:type="dxa"/>
            <w:vAlign w:val="bottom"/>
            <w:tcBorders>
              <w:right w:val="single" w:sz="8" w:color="7D7D7D"/>
            </w:tcBorders>
            <w:vMerge w:val="continue"/>
          </w:tcPr>
          <w:p>
            <w:pPr>
              <w:spacing w:after="0"/>
              <w:rPr>
                <w:sz w:val="4"/>
                <w:szCs w:val="4"/>
                <w:color w:val="auto"/>
              </w:rPr>
            </w:pPr>
          </w:p>
        </w:tc>
        <w:tc>
          <w:tcPr>
            <w:tcW w:w="1500" w:type="dxa"/>
            <w:vAlign w:val="bottom"/>
            <w:tcBorders>
              <w:right w:val="single" w:sz="8" w:color="7D7D7D"/>
            </w:tcBorders>
            <w:vMerge w:val="continue"/>
          </w:tcPr>
          <w:p>
            <w:pPr>
              <w:spacing w:after="0"/>
              <w:rPr>
                <w:sz w:val="4"/>
                <w:szCs w:val="4"/>
                <w:color w:val="auto"/>
              </w:rPr>
            </w:pPr>
          </w:p>
        </w:tc>
        <w:tc>
          <w:tcPr>
            <w:tcW w:w="1560" w:type="dxa"/>
            <w:vAlign w:val="bottom"/>
            <w:tcBorders>
              <w:right w:val="single" w:sz="8" w:color="7D7D7D"/>
            </w:tcBorders>
            <w:vMerge w:val="continue"/>
          </w:tcPr>
          <w:p>
            <w:pPr>
              <w:spacing w:after="0"/>
              <w:rPr>
                <w:sz w:val="4"/>
                <w:szCs w:val="4"/>
                <w:color w:val="auto"/>
              </w:rPr>
            </w:pPr>
          </w:p>
        </w:tc>
        <w:tc>
          <w:tcPr>
            <w:tcW w:w="1500" w:type="dxa"/>
            <w:vAlign w:val="bottom"/>
            <w:tcBorders>
              <w:right w:val="single" w:sz="8" w:color="7D7D7D"/>
            </w:tcBorders>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20" w:type="dxa"/>
            <w:vAlign w:val="bottom"/>
            <w:shd w:val="clear" w:color="auto" w:fill="7D7D7D"/>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560" w:type="dxa"/>
            <w:vAlign w:val="bottom"/>
            <w:tcBorders>
              <w:left w:val="single" w:sz="8" w:color="7D7D7D"/>
              <w:right w:val="single" w:sz="8" w:color="7D7D7D"/>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right w:val="single" w:sz="8" w:color="7D7D7D"/>
            </w:tcBorders>
          </w:tcPr>
          <w:p>
            <w:pPr>
              <w:spacing w:after="0"/>
              <w:rPr>
                <w:sz w:val="4"/>
                <w:szCs w:val="4"/>
                <w:color w:val="auto"/>
              </w:rPr>
            </w:pPr>
          </w:p>
        </w:tc>
        <w:tc>
          <w:tcPr>
            <w:tcW w:w="1120" w:type="dxa"/>
            <w:vAlign w:val="bottom"/>
            <w:tcBorders>
              <w:right w:val="single" w:sz="8" w:color="7D7D7D"/>
            </w:tcBorders>
          </w:tcPr>
          <w:p>
            <w:pPr>
              <w:spacing w:after="0"/>
              <w:rPr>
                <w:sz w:val="4"/>
                <w:szCs w:val="4"/>
                <w:color w:val="auto"/>
              </w:rPr>
            </w:pPr>
          </w:p>
        </w:tc>
        <w:tc>
          <w:tcPr>
            <w:tcW w:w="920" w:type="dxa"/>
            <w:vAlign w:val="bottom"/>
            <w:tcBorders>
              <w:right w:val="single" w:sz="8" w:color="7D7D7D"/>
            </w:tcBorders>
          </w:tcPr>
          <w:p>
            <w:pPr>
              <w:spacing w:after="0"/>
              <w:rPr>
                <w:sz w:val="4"/>
                <w:szCs w:val="4"/>
                <w:color w:val="auto"/>
              </w:rPr>
            </w:pPr>
          </w:p>
        </w:tc>
        <w:tc>
          <w:tcPr>
            <w:tcW w:w="1500" w:type="dxa"/>
            <w:vAlign w:val="bottom"/>
            <w:tcBorders>
              <w:right w:val="single" w:sz="8" w:color="7D7D7D"/>
            </w:tcBorders>
          </w:tcPr>
          <w:p>
            <w:pPr>
              <w:spacing w:after="0"/>
              <w:rPr>
                <w:sz w:val="4"/>
                <w:szCs w:val="4"/>
                <w:color w:val="auto"/>
              </w:rPr>
            </w:pPr>
          </w:p>
        </w:tc>
        <w:tc>
          <w:tcPr>
            <w:tcW w:w="1560" w:type="dxa"/>
            <w:vAlign w:val="bottom"/>
            <w:tcBorders>
              <w:right w:val="single" w:sz="8" w:color="7D7D7D"/>
            </w:tcBorders>
          </w:tcPr>
          <w:p>
            <w:pPr>
              <w:spacing w:after="0"/>
              <w:rPr>
                <w:sz w:val="4"/>
                <w:szCs w:val="4"/>
                <w:color w:val="auto"/>
              </w:rPr>
            </w:pPr>
          </w:p>
        </w:tc>
        <w:tc>
          <w:tcPr>
            <w:tcW w:w="1500" w:type="dxa"/>
            <w:vAlign w:val="bottom"/>
            <w:tcBorders>
              <w:right w:val="single" w:sz="8" w:color="7D7D7D"/>
            </w:tcBorders>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shd w:val="clear" w:color="auto" w:fill="7D7D7D"/>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jc w:val="both"/>
        <w:ind w:left="240" w:right="20" w:hanging="235"/>
        <w:spacing w:after="0" w:line="169" w:lineRule="exact"/>
        <w:tabs>
          <w:tab w:leader="none" w:pos="226" w:val="left"/>
        </w:tabs>
        <w:numPr>
          <w:ilvl w:val="0"/>
          <w:numId w:val="46"/>
        </w:numPr>
        <w:rPr>
          <w:rFonts w:ascii="Arial" w:cs="Arial" w:eastAsia="Arial" w:hAnsi="Arial"/>
          <w:sz w:val="14"/>
          <w:szCs w:val="14"/>
          <w:color w:val="7D7D7D"/>
        </w:rPr>
      </w:pPr>
      <w:r>
        <w:rPr>
          <w:rFonts w:ascii="Arial" w:cs="Arial" w:eastAsia="Arial" w:hAnsi="Arial"/>
          <w:sz w:val="14"/>
          <w:szCs w:val="14"/>
          <w:color w:val="7D7D7D"/>
        </w:rPr>
        <w:t>The dollar amounts in this column represent the aggregate grant date fair value of time-based RSU awards and PSU awards granted for the years indicated calculated in accordance with ASC 718, disregarding the estimate for forfeitures. For a discussion of the valuation methodology used, see Note 16, “Stock-Based Compensation” of the notes to consolidated financial statements included in Item 8 of our Annual Report on Form 10</w:t>
      </w:r>
      <w:r>
        <w:rPr>
          <w:rFonts w:ascii="MS PGothic" w:cs="MS PGothic" w:eastAsia="MS PGothic" w:hAnsi="MS PGothic"/>
          <w:sz w:val="14"/>
          <w:szCs w:val="14"/>
          <w:color w:val="7D7D7D"/>
        </w:rPr>
        <w:t>‑</w:t>
      </w:r>
      <w:r>
        <w:rPr>
          <w:rFonts w:ascii="Arial" w:cs="Arial" w:eastAsia="Arial" w:hAnsi="Arial"/>
          <w:sz w:val="14"/>
          <w:szCs w:val="14"/>
          <w:color w:val="7D7D7D"/>
        </w:rPr>
        <w:t>K for the year ended December 31, 2023, as filed with the SEC on February 9, 2024. Assuming that maximum performance is achieved, the value of the PSU awards subject to 2023 Annual CEO SMART Goals at the date of grant would have been as follows: Mr. Kothandaraman - $8,645,076; Ms. Yang- $2,809,650; and Mr. Ranhoff - $5,135,056. Mr. McNeil did not receive any PSU awards in 2023. With respect to the 2023 Annual CEO SMART Goal PSUs, grant date fair values, as computed in accordance with ASC 718 and presented in the table above and below under “2023 Grants of Plan Based Awards” are based upon the then probable outcome of the performance condition. The amounts reported in this column do not necessarily correspond to the actual value that may be realized from the awards by the NEOs.</w:t>
      </w:r>
    </w:p>
    <w:p>
      <w:pPr>
        <w:spacing w:after="0" w:line="38" w:lineRule="exact"/>
        <w:rPr>
          <w:sz w:val="20"/>
          <w:szCs w:val="20"/>
          <w:color w:val="auto"/>
        </w:rPr>
      </w:pPr>
    </w:p>
    <w:p>
      <w:pPr>
        <w:jc w:val="both"/>
        <w:ind w:left="240" w:right="20" w:hanging="235"/>
        <w:spacing w:after="0" w:line="270" w:lineRule="auto"/>
        <w:tabs>
          <w:tab w:leader="none" w:pos="226" w:val="left"/>
        </w:tabs>
        <w:numPr>
          <w:ilvl w:val="0"/>
          <w:numId w:val="47"/>
        </w:numPr>
        <w:rPr>
          <w:rFonts w:ascii="Arial" w:cs="Arial" w:eastAsia="Arial" w:hAnsi="Arial"/>
          <w:sz w:val="14"/>
          <w:szCs w:val="14"/>
          <w:color w:val="7D7D7D"/>
        </w:rPr>
      </w:pPr>
      <w:r>
        <w:rPr>
          <w:rFonts w:ascii="Arial" w:cs="Arial" w:eastAsia="Arial" w:hAnsi="Arial"/>
          <w:sz w:val="14"/>
          <w:szCs w:val="14"/>
          <w:color w:val="7D7D7D"/>
        </w:rPr>
        <w:t>The amounts in this column for 2023, consist of $1,560 cell phone allowance for each of our NEOs and $3,000 in matching 401(k) contributions for each of our NEOs (except for Mr. Kothandaraman, who did not participate in the 401(k) plan), and group term life insurance payments for each NEO as follows: Mr. Kothandaraman - $552; Ms. Yang - $360; Mr. Ranhoff - $3,048; and Mr. McNeil - $1,303.</w:t>
      </w:r>
    </w:p>
    <w:p>
      <w:pPr>
        <w:spacing w:after="0" w:line="6" w:lineRule="exact"/>
        <w:rPr>
          <w:sz w:val="20"/>
          <w:szCs w:val="20"/>
          <w:color w:val="auto"/>
        </w:rPr>
      </w:pPr>
    </w:p>
    <w:p>
      <w:pPr>
        <w:ind w:left="220" w:hanging="215"/>
        <w:spacing w:after="0"/>
        <w:tabs>
          <w:tab w:leader="none" w:pos="220" w:val="left"/>
        </w:tabs>
        <w:numPr>
          <w:ilvl w:val="0"/>
          <w:numId w:val="48"/>
        </w:numPr>
        <w:rPr>
          <w:rFonts w:ascii="Arial" w:cs="Arial" w:eastAsia="Arial" w:hAnsi="Arial"/>
          <w:sz w:val="14"/>
          <w:szCs w:val="14"/>
          <w:color w:val="7D7D7D"/>
        </w:rPr>
      </w:pPr>
      <w:r>
        <w:rPr>
          <w:rFonts w:ascii="Arial" w:cs="Arial" w:eastAsia="Arial" w:hAnsi="Arial"/>
          <w:sz w:val="14"/>
          <w:szCs w:val="14"/>
          <w:color w:val="7D7D7D"/>
        </w:rPr>
        <w:t>Ms. Yang’s base salary was increased from $350,000 to $367,500 effective as of April 1, 2023.</w:t>
      </w:r>
    </w:p>
    <w:p>
      <w:pPr>
        <w:spacing w:after="0" w:line="61" w:lineRule="exact"/>
        <w:rPr>
          <w:sz w:val="20"/>
          <w:szCs w:val="20"/>
          <w:color w:val="auto"/>
        </w:rPr>
      </w:pPr>
    </w:p>
    <w:p>
      <w:pPr>
        <w:ind w:left="240" w:right="20" w:hanging="235"/>
        <w:spacing w:after="0" w:line="287" w:lineRule="auto"/>
        <w:tabs>
          <w:tab w:leader="none" w:pos="226" w:val="left"/>
        </w:tabs>
        <w:numPr>
          <w:ilvl w:val="0"/>
          <w:numId w:val="49"/>
        </w:numPr>
        <w:rPr>
          <w:rFonts w:ascii="Arial" w:cs="Arial" w:eastAsia="Arial" w:hAnsi="Arial"/>
          <w:sz w:val="14"/>
          <w:szCs w:val="14"/>
          <w:color w:val="7D7D7D"/>
        </w:rPr>
      </w:pPr>
      <w:r>
        <w:rPr>
          <w:rFonts w:ascii="Arial" w:cs="Arial" w:eastAsia="Arial" w:hAnsi="Arial"/>
          <w:sz w:val="14"/>
          <w:szCs w:val="14"/>
          <w:color w:val="7D7D7D"/>
        </w:rPr>
        <w:t>Mr. McNeil stepped down as an executive officer effective as of March 31, 2023 and now serves as Chief Advisor. His base salary was reduced from $400,000 to $200,000 effective as of April 17, 2023.</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54" w:name="page55"/>
    <w:bookmarkEnd w:id="54"/>
    <w:p>
      <w:pPr>
        <w:spacing w:after="0"/>
        <w:rPr>
          <w:sz w:val="20"/>
          <w:szCs w:val="20"/>
          <w:color w:val="auto"/>
        </w:rPr>
      </w:pPr>
      <w:r>
        <w:rPr>
          <w:rFonts w:ascii="Arial" w:cs="Arial" w:eastAsia="Arial" w:hAnsi="Arial"/>
          <w:sz w:val="31"/>
          <w:szCs w:val="31"/>
          <w:b w:val="1"/>
          <w:bCs w:val="1"/>
          <w:color w:val="auto"/>
        </w:rPr>
        <w:t>Grants of Plan-Based Awards - 2023</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regarding the incentive awards granted to our NEOs for 2023.</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314"/>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Borders>
              <w:top w:val="single" w:sz="8" w:color="7D7D7D"/>
            </w:tcBorders>
            <w:gridSpan w:val="3"/>
          </w:tcPr>
          <w:p>
            <w:pPr>
              <w:jc w:val="center"/>
              <w:spacing w:after="0"/>
              <w:rPr>
                <w:sz w:val="20"/>
                <w:szCs w:val="20"/>
                <w:color w:val="auto"/>
              </w:rPr>
            </w:pPr>
            <w:r>
              <w:rPr>
                <w:rFonts w:ascii="Arial" w:cs="Arial" w:eastAsia="Arial" w:hAnsi="Arial"/>
                <w:sz w:val="14"/>
                <w:szCs w:val="14"/>
                <w:b w:val="1"/>
                <w:bCs w:val="1"/>
                <w:color w:val="3C3C3C"/>
                <w:w w:val="99"/>
              </w:rPr>
              <w:t>Estimated Possible Payouts</w:t>
            </w:r>
          </w:p>
        </w:tc>
        <w:tc>
          <w:tcPr>
            <w:tcW w:w="120" w:type="dxa"/>
            <w:vAlign w:val="bottom"/>
          </w:tcPr>
          <w:p>
            <w:pPr>
              <w:spacing w:after="0"/>
              <w:rPr>
                <w:sz w:val="24"/>
                <w:szCs w:val="24"/>
                <w:color w:val="auto"/>
              </w:rPr>
            </w:pPr>
          </w:p>
        </w:tc>
        <w:tc>
          <w:tcPr>
            <w:tcW w:w="800" w:type="dxa"/>
            <w:vAlign w:val="bottom"/>
            <w:tcBorders>
              <w:top w:val="single" w:sz="8" w:color="7D7D7D"/>
            </w:tcBorders>
          </w:tcPr>
          <w:p>
            <w:pPr>
              <w:spacing w:after="0"/>
              <w:rPr>
                <w:sz w:val="24"/>
                <w:szCs w:val="24"/>
                <w:color w:val="auto"/>
              </w:rPr>
            </w:pPr>
          </w:p>
        </w:tc>
        <w:tc>
          <w:tcPr>
            <w:tcW w:w="260" w:type="dxa"/>
            <w:vAlign w:val="bottom"/>
            <w:tcBorders>
              <w:top w:val="single" w:sz="8" w:color="7D7D7D"/>
            </w:tcBorders>
          </w:tcPr>
          <w:p>
            <w:pPr>
              <w:spacing w:after="0"/>
              <w:rPr>
                <w:sz w:val="24"/>
                <w:szCs w:val="24"/>
                <w:color w:val="auto"/>
              </w:rPr>
            </w:pPr>
          </w:p>
        </w:tc>
        <w:tc>
          <w:tcPr>
            <w:tcW w:w="1160" w:type="dxa"/>
            <w:vAlign w:val="bottom"/>
            <w:tcBorders>
              <w:top w:val="single" w:sz="8" w:color="7D7D7D"/>
            </w:tcBorders>
          </w:tcPr>
          <w:p>
            <w:pPr>
              <w:spacing w:after="0"/>
              <w:rPr>
                <w:sz w:val="24"/>
                <w:szCs w:val="24"/>
                <w:color w:val="auto"/>
              </w:rPr>
            </w:pPr>
          </w:p>
        </w:tc>
        <w:tc>
          <w:tcPr>
            <w:tcW w:w="1040" w:type="dxa"/>
            <w:vAlign w:val="bottom"/>
            <w:tcBorders>
              <w:top w:val="single" w:sz="8" w:color="7D7D7D"/>
            </w:tcBorders>
          </w:tcPr>
          <w:p>
            <w:pPr>
              <w:spacing w:after="0"/>
              <w:rPr>
                <w:sz w:val="24"/>
                <w:szCs w:val="24"/>
                <w:color w:val="auto"/>
              </w:rPr>
            </w:pPr>
          </w:p>
        </w:tc>
        <w:tc>
          <w:tcPr>
            <w:tcW w:w="140" w:type="dxa"/>
            <w:vAlign w:val="bottom"/>
            <w:tcBorders>
              <w:right w:val="single" w:sz="8" w:color="3C3C3C"/>
            </w:tcBorders>
          </w:tcPr>
          <w:p>
            <w:pPr>
              <w:spacing w:after="0"/>
              <w:rPr>
                <w:sz w:val="24"/>
                <w:szCs w:val="24"/>
                <w:color w:val="auto"/>
              </w:rPr>
            </w:pPr>
          </w:p>
        </w:tc>
        <w:tc>
          <w:tcPr>
            <w:tcW w:w="1580" w:type="dxa"/>
            <w:vAlign w:val="bottom"/>
            <w:tcBorders>
              <w:top w:val="single" w:sz="8" w:color="3C3C3C"/>
              <w:right w:val="single" w:sz="8" w:color="3C3C3C"/>
            </w:tcBorders>
            <w:gridSpan w:val="2"/>
            <w:shd w:val="clear" w:color="auto" w:fill="3C3C3C"/>
          </w:tcPr>
          <w:p>
            <w:pPr>
              <w:jc w:val="center"/>
              <w:ind w:right="89"/>
              <w:spacing w:after="0"/>
              <w:rPr>
                <w:sz w:val="20"/>
                <w:szCs w:val="20"/>
                <w:color w:val="auto"/>
              </w:rPr>
            </w:pPr>
            <w:r>
              <w:rPr>
                <w:rFonts w:ascii="Arial" w:cs="Arial" w:eastAsia="Arial" w:hAnsi="Arial"/>
                <w:sz w:val="14"/>
                <w:szCs w:val="14"/>
                <w:b w:val="1"/>
                <w:bCs w:val="1"/>
                <w:color w:val="FFFFFF"/>
                <w:w w:val="98"/>
              </w:rPr>
              <w:t>All Other Stock</w:t>
            </w:r>
          </w:p>
        </w:tc>
        <w:tc>
          <w:tcPr>
            <w:tcW w:w="1040" w:type="dxa"/>
            <w:vAlign w:val="bottom"/>
            <w:tcBorders>
              <w:top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3C3C3C"/>
                <w:w w:val="99"/>
              </w:rPr>
              <w:t>Under Non-Equity Incentive Plan</w:t>
            </w:r>
          </w:p>
        </w:tc>
        <w:tc>
          <w:tcPr>
            <w:tcW w:w="120" w:type="dxa"/>
            <w:vAlign w:val="bottom"/>
          </w:tcPr>
          <w:p>
            <w:pPr>
              <w:spacing w:after="0"/>
              <w:rPr>
                <w:sz w:val="13"/>
                <w:szCs w:val="13"/>
                <w:color w:val="auto"/>
              </w:rPr>
            </w:pPr>
          </w:p>
        </w:tc>
        <w:tc>
          <w:tcPr>
            <w:tcW w:w="3400" w:type="dxa"/>
            <w:vAlign w:val="bottom"/>
            <w:tcBorders>
              <w:right w:val="single" w:sz="8" w:color="3C3C3C"/>
            </w:tcBorders>
            <w:gridSpan w:val="5"/>
          </w:tcPr>
          <w:p>
            <w:pPr>
              <w:jc w:val="center"/>
              <w:ind w:right="160"/>
              <w:spacing w:after="0" w:line="157" w:lineRule="exact"/>
              <w:rPr>
                <w:sz w:val="20"/>
                <w:szCs w:val="20"/>
                <w:color w:val="auto"/>
              </w:rPr>
            </w:pPr>
            <w:r>
              <w:rPr>
                <w:rFonts w:ascii="Arial" w:cs="Arial" w:eastAsia="Arial" w:hAnsi="Arial"/>
                <w:sz w:val="14"/>
                <w:szCs w:val="14"/>
                <w:b w:val="1"/>
                <w:bCs w:val="1"/>
                <w:color w:val="3C3C3C"/>
                <w:w w:val="99"/>
              </w:rPr>
              <w:t>Estimated Possible Payouts Under Equity</w:t>
            </w:r>
          </w:p>
        </w:tc>
        <w:tc>
          <w:tcPr>
            <w:tcW w:w="1040" w:type="dxa"/>
            <w:vAlign w:val="bottom"/>
            <w:shd w:val="clear" w:color="auto" w:fill="3C3C3C"/>
          </w:tcPr>
          <w:p>
            <w:pPr>
              <w:jc w:val="center"/>
              <w:ind w:left="304"/>
              <w:spacing w:after="0" w:line="157" w:lineRule="exact"/>
              <w:rPr>
                <w:sz w:val="20"/>
                <w:szCs w:val="20"/>
                <w:color w:val="auto"/>
              </w:rPr>
            </w:pPr>
            <w:r>
              <w:rPr>
                <w:rFonts w:ascii="Arial" w:cs="Arial" w:eastAsia="Arial" w:hAnsi="Arial"/>
                <w:sz w:val="14"/>
                <w:szCs w:val="14"/>
                <w:b w:val="1"/>
                <w:bCs w:val="1"/>
                <w:color w:val="FFFFFF"/>
                <w:w w:val="97"/>
              </w:rPr>
              <w:t>Awards:</w:t>
            </w:r>
          </w:p>
        </w:tc>
        <w:tc>
          <w:tcPr>
            <w:tcW w:w="540" w:type="dxa"/>
            <w:vAlign w:val="bottom"/>
            <w:tcBorders>
              <w:right w:val="single" w:sz="8" w:color="3C3C3C"/>
            </w:tcBorders>
            <w:shd w:val="clear" w:color="auto" w:fill="3C3C3C"/>
          </w:tcPr>
          <w:p>
            <w:pPr>
              <w:spacing w:after="0"/>
              <w:rPr>
                <w:sz w:val="13"/>
                <w:szCs w:val="13"/>
                <w:color w:val="auto"/>
              </w:rPr>
            </w:pPr>
          </w:p>
        </w:tc>
        <w:tc>
          <w:tcPr>
            <w:tcW w:w="1040" w:type="dxa"/>
            <w:vAlign w:val="bottom"/>
            <w:shd w:val="clear" w:color="auto" w:fill="3C3C3C"/>
          </w:tcPr>
          <w:p>
            <w:pPr>
              <w:jc w:val="center"/>
              <w:spacing w:after="0" w:line="157" w:lineRule="exact"/>
              <w:rPr>
                <w:sz w:val="20"/>
                <w:szCs w:val="20"/>
                <w:color w:val="auto"/>
              </w:rPr>
            </w:pPr>
            <w:r>
              <w:rPr>
                <w:rFonts w:ascii="Arial" w:cs="Arial" w:eastAsia="Arial" w:hAnsi="Arial"/>
                <w:sz w:val="14"/>
                <w:szCs w:val="14"/>
                <w:b w:val="1"/>
                <w:bCs w:val="1"/>
                <w:color w:val="FFFFFF"/>
                <w:w w:val="97"/>
              </w:rPr>
              <w:t>Value of Stock</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gridSpan w:val="2"/>
          </w:tcPr>
          <w:p>
            <w:pPr>
              <w:jc w:val="center"/>
              <w:ind w:right="722"/>
              <w:spacing w:after="0"/>
              <w:rPr>
                <w:sz w:val="20"/>
                <w:szCs w:val="20"/>
                <w:color w:val="auto"/>
              </w:rPr>
            </w:pPr>
            <w:r>
              <w:rPr>
                <w:rFonts w:ascii="Arial" w:cs="Arial" w:eastAsia="Arial" w:hAnsi="Arial"/>
                <w:sz w:val="14"/>
                <w:szCs w:val="14"/>
                <w:b w:val="1"/>
                <w:bCs w:val="1"/>
                <w:color w:val="3C3C3C"/>
                <w:w w:val="91"/>
              </w:rPr>
              <w:t>Awards</w:t>
            </w:r>
            <w:r>
              <w:rPr>
                <w:rFonts w:ascii="Arial" w:cs="Arial" w:eastAsia="Arial" w:hAnsi="Arial"/>
                <w:sz w:val="18"/>
                <w:szCs w:val="18"/>
                <w:b w:val="1"/>
                <w:bCs w:val="1"/>
                <w:color w:val="3C3C3C"/>
                <w:w w:val="91"/>
                <w:vertAlign w:val="superscript"/>
              </w:rPr>
              <w:t>(1)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0" w:type="dxa"/>
            <w:vAlign w:val="bottom"/>
            <w:tcBorders>
              <w:right w:val="single" w:sz="8" w:color="3C3C3C"/>
            </w:tcBorders>
            <w:gridSpan w:val="4"/>
          </w:tcPr>
          <w:p>
            <w:pPr>
              <w:jc w:val="center"/>
              <w:ind w:right="960"/>
              <w:spacing w:after="0"/>
              <w:rPr>
                <w:sz w:val="20"/>
                <w:szCs w:val="20"/>
                <w:color w:val="auto"/>
              </w:rPr>
            </w:pPr>
            <w:r>
              <w:rPr>
                <w:rFonts w:ascii="Arial" w:cs="Arial" w:eastAsia="Arial" w:hAnsi="Arial"/>
                <w:sz w:val="14"/>
                <w:szCs w:val="14"/>
                <w:b w:val="1"/>
                <w:bCs w:val="1"/>
                <w:color w:val="3C3C3C"/>
              </w:rPr>
              <w:t>Incentive Plan Awards</w:t>
            </w:r>
            <w:r>
              <w:rPr>
                <w:rFonts w:ascii="Arial" w:cs="Arial" w:eastAsia="Arial" w:hAnsi="Arial"/>
                <w:sz w:val="9"/>
                <w:szCs w:val="9"/>
                <w:b w:val="1"/>
                <w:bCs w:val="1"/>
                <w:color w:val="3C3C3C"/>
              </w:rPr>
              <w:t>(2)</w:t>
            </w:r>
          </w:p>
        </w:tc>
        <w:tc>
          <w:tcPr>
            <w:tcW w:w="1580" w:type="dxa"/>
            <w:vAlign w:val="bottom"/>
            <w:tcBorders>
              <w:right w:val="single" w:sz="8" w:color="3C3C3C"/>
            </w:tcBorders>
            <w:gridSpan w:val="2"/>
            <w:shd w:val="clear" w:color="auto" w:fill="3C3C3C"/>
          </w:tcPr>
          <w:p>
            <w:pPr>
              <w:jc w:val="center"/>
              <w:ind w:right="89"/>
              <w:spacing w:after="0"/>
              <w:rPr>
                <w:sz w:val="20"/>
                <w:szCs w:val="20"/>
                <w:color w:val="auto"/>
              </w:rPr>
            </w:pPr>
            <w:r>
              <w:rPr>
                <w:rFonts w:ascii="Arial" w:cs="Arial" w:eastAsia="Arial" w:hAnsi="Arial"/>
                <w:sz w:val="14"/>
                <w:szCs w:val="14"/>
                <w:b w:val="1"/>
                <w:bCs w:val="1"/>
                <w:color w:val="FFFFFF"/>
                <w:w w:val="98"/>
              </w:rPr>
              <w:t>Number of Shares of</w:t>
            </w:r>
          </w:p>
        </w:tc>
        <w:tc>
          <w:tcPr>
            <w:tcW w:w="104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and Option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60" w:type="dxa"/>
            <w:vAlign w:val="bottom"/>
            <w:tcBorders>
              <w:left w:val="single" w:sz="8" w:color="3C3C3C"/>
            </w:tcBorders>
            <w:vMerge w:val="restart"/>
            <w:shd w:val="clear" w:color="auto" w:fill="3C3C3C"/>
          </w:tcPr>
          <w:p>
            <w:pPr>
              <w:ind w:left="100"/>
              <w:spacing w:after="0"/>
              <w:rPr>
                <w:sz w:val="20"/>
                <w:szCs w:val="20"/>
                <w:color w:val="auto"/>
              </w:rPr>
            </w:pPr>
            <w:r>
              <w:rPr>
                <w:rFonts w:ascii="Arial" w:cs="Arial" w:eastAsia="Arial" w:hAnsi="Arial"/>
                <w:sz w:val="14"/>
                <w:szCs w:val="14"/>
                <w:b w:val="1"/>
                <w:bCs w:val="1"/>
                <w:color w:val="FFFFFF"/>
              </w:rPr>
              <w:t>Named Executive</w:t>
            </w:r>
          </w:p>
        </w:tc>
        <w:tc>
          <w:tcPr>
            <w:tcW w:w="120" w:type="dxa"/>
            <w:vAlign w:val="bottom"/>
            <w:tcBorders>
              <w:right w:val="single" w:sz="8" w:color="3C3C3C"/>
            </w:tcBorders>
            <w:shd w:val="clear" w:color="auto" w:fill="3C3C3C"/>
          </w:tcPr>
          <w:p>
            <w:pPr>
              <w:spacing w:after="0"/>
              <w:rPr>
                <w:sz w:val="13"/>
                <w:szCs w:val="13"/>
                <w:color w:val="auto"/>
              </w:rPr>
            </w:pPr>
          </w:p>
        </w:tc>
        <w:tc>
          <w:tcPr>
            <w:tcW w:w="1020" w:type="dxa"/>
            <w:vAlign w:val="bottom"/>
            <w:vMerge w:val="restart"/>
            <w:shd w:val="clear" w:color="auto" w:fill="3C3C3C"/>
          </w:tcPr>
          <w:p>
            <w:pPr>
              <w:ind w:left="140"/>
              <w:spacing w:after="0"/>
              <w:rPr>
                <w:sz w:val="20"/>
                <w:szCs w:val="20"/>
                <w:color w:val="auto"/>
              </w:rPr>
            </w:pPr>
            <w:r>
              <w:rPr>
                <w:rFonts w:ascii="Arial" w:cs="Arial" w:eastAsia="Arial" w:hAnsi="Arial"/>
                <w:sz w:val="14"/>
                <w:szCs w:val="14"/>
                <w:b w:val="1"/>
                <w:bCs w:val="1"/>
                <w:color w:val="FFFFFF"/>
              </w:rPr>
              <w:t>Grant Date</w:t>
            </w:r>
          </w:p>
        </w:tc>
        <w:tc>
          <w:tcPr>
            <w:tcW w:w="120" w:type="dxa"/>
            <w:vAlign w:val="bottom"/>
            <w:tcBorders>
              <w:right w:val="single" w:sz="8" w:color="3C3C3C"/>
            </w:tcBorders>
            <w:shd w:val="clear" w:color="auto" w:fill="3C3C3C"/>
          </w:tcPr>
          <w:p>
            <w:pPr>
              <w:spacing w:after="0"/>
              <w:rPr>
                <w:sz w:val="13"/>
                <w:szCs w:val="13"/>
                <w:color w:val="auto"/>
              </w:rPr>
            </w:pPr>
          </w:p>
        </w:tc>
        <w:tc>
          <w:tcPr>
            <w:tcW w:w="780" w:type="dxa"/>
            <w:vAlign w:val="bottom"/>
            <w:vMerge w:val="restart"/>
            <w:shd w:val="clear" w:color="auto" w:fill="3C3C3C"/>
          </w:tcPr>
          <w:p>
            <w:pPr>
              <w:ind w:left="280"/>
              <w:spacing w:after="0"/>
              <w:rPr>
                <w:sz w:val="20"/>
                <w:szCs w:val="20"/>
                <w:color w:val="auto"/>
              </w:rPr>
            </w:pPr>
            <w:r>
              <w:rPr>
                <w:rFonts w:ascii="Arial" w:cs="Arial" w:eastAsia="Arial" w:hAnsi="Arial"/>
                <w:sz w:val="14"/>
                <w:szCs w:val="14"/>
                <w:b w:val="1"/>
                <w:bCs w:val="1"/>
                <w:color w:val="FFFFFF"/>
              </w:rPr>
              <w:t>Target</w:t>
            </w:r>
          </w:p>
        </w:tc>
        <w:tc>
          <w:tcPr>
            <w:tcW w:w="340" w:type="dxa"/>
            <w:vAlign w:val="bottom"/>
            <w:tcBorders>
              <w:right w:val="single" w:sz="8" w:color="3C3C3C"/>
            </w:tcBorders>
            <w:shd w:val="clear" w:color="auto" w:fill="3C3C3C"/>
          </w:tcPr>
          <w:p>
            <w:pPr>
              <w:spacing w:after="0"/>
              <w:rPr>
                <w:sz w:val="13"/>
                <w:szCs w:val="13"/>
                <w:color w:val="auto"/>
              </w:rPr>
            </w:pPr>
          </w:p>
        </w:tc>
        <w:tc>
          <w:tcPr>
            <w:tcW w:w="1060" w:type="dxa"/>
            <w:vAlign w:val="bottom"/>
            <w:vMerge w:val="restart"/>
            <w:shd w:val="clear" w:color="auto" w:fill="3C3C3C"/>
          </w:tcPr>
          <w:p>
            <w:pPr>
              <w:ind w:left="200"/>
              <w:spacing w:after="0"/>
              <w:rPr>
                <w:sz w:val="20"/>
                <w:szCs w:val="20"/>
                <w:color w:val="auto"/>
              </w:rPr>
            </w:pPr>
            <w:r>
              <w:rPr>
                <w:rFonts w:ascii="Arial" w:cs="Arial" w:eastAsia="Arial" w:hAnsi="Arial"/>
                <w:sz w:val="14"/>
                <w:szCs w:val="14"/>
                <w:b w:val="1"/>
                <w:bCs w:val="1"/>
                <w:color w:val="FFFFFF"/>
              </w:rPr>
              <w:t>Maximum</w:t>
            </w:r>
          </w:p>
        </w:tc>
        <w:tc>
          <w:tcPr>
            <w:tcW w:w="120" w:type="dxa"/>
            <w:vAlign w:val="bottom"/>
            <w:tcBorders>
              <w:right w:val="single" w:sz="8" w:color="3C3C3C"/>
            </w:tcBorders>
            <w:shd w:val="clear" w:color="auto" w:fill="3C3C3C"/>
          </w:tcPr>
          <w:p>
            <w:pPr>
              <w:spacing w:after="0"/>
              <w:rPr>
                <w:sz w:val="13"/>
                <w:szCs w:val="13"/>
                <w:color w:val="auto"/>
              </w:rPr>
            </w:pPr>
          </w:p>
        </w:tc>
        <w:tc>
          <w:tcPr>
            <w:tcW w:w="800" w:type="dxa"/>
            <w:vAlign w:val="bottom"/>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w w:val="97"/>
              </w:rPr>
              <w:t>Threshold</w:t>
            </w:r>
          </w:p>
        </w:tc>
        <w:tc>
          <w:tcPr>
            <w:tcW w:w="260" w:type="dxa"/>
            <w:vAlign w:val="bottom"/>
            <w:tcBorders>
              <w:right w:val="single" w:sz="8" w:color="3C3C3C"/>
            </w:tcBorders>
            <w:shd w:val="clear" w:color="auto" w:fill="3C3C3C"/>
          </w:tcPr>
          <w:p>
            <w:pPr>
              <w:spacing w:after="0"/>
              <w:rPr>
                <w:sz w:val="13"/>
                <w:szCs w:val="13"/>
                <w:color w:val="auto"/>
              </w:rPr>
            </w:pPr>
          </w:p>
        </w:tc>
        <w:tc>
          <w:tcPr>
            <w:tcW w:w="1160" w:type="dxa"/>
            <w:vAlign w:val="bottom"/>
            <w:tcBorders>
              <w:right w:val="single" w:sz="8" w:color="3C3C3C"/>
            </w:tcBorders>
            <w:vMerge w:val="restart"/>
            <w:shd w:val="clear" w:color="auto" w:fill="3C3C3C"/>
          </w:tcPr>
          <w:p>
            <w:pPr>
              <w:ind w:left="300"/>
              <w:spacing w:after="0"/>
              <w:rPr>
                <w:sz w:val="20"/>
                <w:szCs w:val="20"/>
                <w:color w:val="auto"/>
              </w:rPr>
            </w:pPr>
            <w:r>
              <w:rPr>
                <w:rFonts w:ascii="Arial" w:cs="Arial" w:eastAsia="Arial" w:hAnsi="Arial"/>
                <w:sz w:val="14"/>
                <w:szCs w:val="14"/>
                <w:b w:val="1"/>
                <w:bCs w:val="1"/>
                <w:color w:val="FFFFFF"/>
              </w:rPr>
              <w:t>Target</w:t>
            </w:r>
          </w:p>
        </w:tc>
        <w:tc>
          <w:tcPr>
            <w:tcW w:w="1180" w:type="dxa"/>
            <w:vAlign w:val="bottom"/>
            <w:tcBorders>
              <w:right w:val="single" w:sz="8" w:color="3C3C3C"/>
            </w:tcBorders>
            <w:gridSpan w:val="2"/>
            <w:vMerge w:val="restart"/>
            <w:shd w:val="clear" w:color="auto" w:fill="3C3C3C"/>
          </w:tcPr>
          <w:p>
            <w:pPr>
              <w:ind w:left="180"/>
              <w:spacing w:after="0"/>
              <w:rPr>
                <w:sz w:val="20"/>
                <w:szCs w:val="20"/>
                <w:color w:val="auto"/>
              </w:rPr>
            </w:pPr>
            <w:r>
              <w:rPr>
                <w:rFonts w:ascii="Arial" w:cs="Arial" w:eastAsia="Arial" w:hAnsi="Arial"/>
                <w:sz w:val="14"/>
                <w:szCs w:val="14"/>
                <w:b w:val="1"/>
                <w:bCs w:val="1"/>
                <w:color w:val="FFFFFF"/>
              </w:rPr>
              <w:t>Maximum</w:t>
            </w:r>
          </w:p>
        </w:tc>
        <w:tc>
          <w:tcPr>
            <w:tcW w:w="1580" w:type="dxa"/>
            <w:vAlign w:val="bottom"/>
            <w:tcBorders>
              <w:right w:val="single" w:sz="8" w:color="3C3C3C"/>
            </w:tcBorders>
            <w:gridSpan w:val="2"/>
            <w:shd w:val="clear" w:color="auto" w:fill="3C3C3C"/>
          </w:tcPr>
          <w:p>
            <w:pPr>
              <w:jc w:val="center"/>
              <w:ind w:right="109"/>
              <w:spacing w:after="0" w:line="159" w:lineRule="exact"/>
              <w:rPr>
                <w:sz w:val="20"/>
                <w:szCs w:val="20"/>
                <w:color w:val="auto"/>
              </w:rPr>
            </w:pPr>
            <w:r>
              <w:rPr>
                <w:rFonts w:ascii="Arial" w:cs="Arial" w:eastAsia="Arial" w:hAnsi="Arial"/>
                <w:sz w:val="14"/>
                <w:szCs w:val="14"/>
                <w:b w:val="1"/>
                <w:bCs w:val="1"/>
                <w:color w:val="FFFFFF"/>
                <w:w w:val="98"/>
              </w:rPr>
              <w:t>Stock or Units</w:t>
            </w:r>
          </w:p>
        </w:tc>
        <w:tc>
          <w:tcPr>
            <w:tcW w:w="1040" w:type="dxa"/>
            <w:vAlign w:val="bottom"/>
            <w:shd w:val="clear" w:color="auto" w:fill="3C3C3C"/>
          </w:tcPr>
          <w:p>
            <w:pPr>
              <w:jc w:val="center"/>
              <w:spacing w:after="0" w:line="159" w:lineRule="exact"/>
              <w:rPr>
                <w:sz w:val="20"/>
                <w:szCs w:val="20"/>
                <w:color w:val="auto"/>
              </w:rPr>
            </w:pPr>
            <w:r>
              <w:rPr>
                <w:rFonts w:ascii="Arial" w:cs="Arial" w:eastAsia="Arial" w:hAnsi="Arial"/>
                <w:sz w:val="14"/>
                <w:szCs w:val="14"/>
                <w:b w:val="1"/>
                <w:bCs w:val="1"/>
                <w:color w:val="FFFFFF"/>
                <w:w w:val="98"/>
              </w:rPr>
              <w:t>Awards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660" w:type="dxa"/>
            <w:vAlign w:val="bottom"/>
            <w:tcBorders>
              <w:left w:val="single" w:sz="8" w:color="3C3C3C"/>
            </w:tcBorders>
            <w:vMerge w:val="continue"/>
            <w:shd w:val="clear" w:color="auto" w:fill="3C3C3C"/>
          </w:tcPr>
          <w:p>
            <w:pPr>
              <w:spacing w:after="0"/>
              <w:rPr>
                <w:sz w:val="8"/>
                <w:szCs w:val="8"/>
                <w:color w:val="auto"/>
              </w:rPr>
            </w:pPr>
          </w:p>
        </w:tc>
        <w:tc>
          <w:tcPr>
            <w:tcW w:w="120" w:type="dxa"/>
            <w:vAlign w:val="bottom"/>
            <w:tcBorders>
              <w:right w:val="single" w:sz="8" w:color="3C3C3C"/>
            </w:tcBorders>
            <w:shd w:val="clear" w:color="auto" w:fill="3C3C3C"/>
          </w:tcPr>
          <w:p>
            <w:pPr>
              <w:spacing w:after="0"/>
              <w:rPr>
                <w:sz w:val="8"/>
                <w:szCs w:val="8"/>
                <w:color w:val="auto"/>
              </w:rPr>
            </w:pPr>
          </w:p>
        </w:tc>
        <w:tc>
          <w:tcPr>
            <w:tcW w:w="1020" w:type="dxa"/>
            <w:vAlign w:val="bottom"/>
            <w:vMerge w:val="continue"/>
            <w:shd w:val="clear" w:color="auto" w:fill="3C3C3C"/>
          </w:tcPr>
          <w:p>
            <w:pPr>
              <w:spacing w:after="0"/>
              <w:rPr>
                <w:sz w:val="8"/>
                <w:szCs w:val="8"/>
                <w:color w:val="auto"/>
              </w:rPr>
            </w:pPr>
          </w:p>
        </w:tc>
        <w:tc>
          <w:tcPr>
            <w:tcW w:w="120" w:type="dxa"/>
            <w:vAlign w:val="bottom"/>
            <w:tcBorders>
              <w:right w:val="single" w:sz="8" w:color="3C3C3C"/>
            </w:tcBorders>
            <w:shd w:val="clear" w:color="auto" w:fill="3C3C3C"/>
          </w:tcPr>
          <w:p>
            <w:pPr>
              <w:spacing w:after="0"/>
              <w:rPr>
                <w:sz w:val="8"/>
                <w:szCs w:val="8"/>
                <w:color w:val="auto"/>
              </w:rPr>
            </w:pPr>
          </w:p>
        </w:tc>
        <w:tc>
          <w:tcPr>
            <w:tcW w:w="780" w:type="dxa"/>
            <w:vAlign w:val="bottom"/>
            <w:vMerge w:val="continue"/>
            <w:shd w:val="clear" w:color="auto" w:fill="3C3C3C"/>
          </w:tcPr>
          <w:p>
            <w:pPr>
              <w:spacing w:after="0"/>
              <w:rPr>
                <w:sz w:val="8"/>
                <w:szCs w:val="8"/>
                <w:color w:val="auto"/>
              </w:rPr>
            </w:pPr>
          </w:p>
        </w:tc>
        <w:tc>
          <w:tcPr>
            <w:tcW w:w="340" w:type="dxa"/>
            <w:vAlign w:val="bottom"/>
            <w:tcBorders>
              <w:right w:val="single" w:sz="8" w:color="3C3C3C"/>
            </w:tcBorders>
            <w:shd w:val="clear" w:color="auto" w:fill="3C3C3C"/>
          </w:tcPr>
          <w:p>
            <w:pPr>
              <w:spacing w:after="0"/>
              <w:rPr>
                <w:sz w:val="8"/>
                <w:szCs w:val="8"/>
                <w:color w:val="auto"/>
              </w:rPr>
            </w:pPr>
          </w:p>
        </w:tc>
        <w:tc>
          <w:tcPr>
            <w:tcW w:w="1060" w:type="dxa"/>
            <w:vAlign w:val="bottom"/>
            <w:vMerge w:val="continue"/>
            <w:shd w:val="clear" w:color="auto" w:fill="3C3C3C"/>
          </w:tcPr>
          <w:p>
            <w:pPr>
              <w:spacing w:after="0"/>
              <w:rPr>
                <w:sz w:val="8"/>
                <w:szCs w:val="8"/>
                <w:color w:val="auto"/>
              </w:rPr>
            </w:pPr>
          </w:p>
        </w:tc>
        <w:tc>
          <w:tcPr>
            <w:tcW w:w="120" w:type="dxa"/>
            <w:vAlign w:val="bottom"/>
            <w:tcBorders>
              <w:right w:val="single" w:sz="8" w:color="3C3C3C"/>
            </w:tcBorders>
            <w:shd w:val="clear" w:color="auto" w:fill="3C3C3C"/>
          </w:tcPr>
          <w:p>
            <w:pPr>
              <w:spacing w:after="0"/>
              <w:rPr>
                <w:sz w:val="8"/>
                <w:szCs w:val="8"/>
                <w:color w:val="auto"/>
              </w:rPr>
            </w:pPr>
          </w:p>
        </w:tc>
        <w:tc>
          <w:tcPr>
            <w:tcW w:w="800" w:type="dxa"/>
            <w:vAlign w:val="bottom"/>
            <w:vMerge w:val="continue"/>
            <w:shd w:val="clear" w:color="auto" w:fill="3C3C3C"/>
          </w:tcPr>
          <w:p>
            <w:pPr>
              <w:spacing w:after="0"/>
              <w:rPr>
                <w:sz w:val="8"/>
                <w:szCs w:val="8"/>
                <w:color w:val="auto"/>
              </w:rPr>
            </w:pPr>
          </w:p>
        </w:tc>
        <w:tc>
          <w:tcPr>
            <w:tcW w:w="260" w:type="dxa"/>
            <w:vAlign w:val="bottom"/>
            <w:tcBorders>
              <w:right w:val="single" w:sz="8" w:color="3C3C3C"/>
            </w:tcBorders>
            <w:shd w:val="clear" w:color="auto" w:fill="3C3C3C"/>
          </w:tcPr>
          <w:p>
            <w:pPr>
              <w:spacing w:after="0"/>
              <w:rPr>
                <w:sz w:val="8"/>
                <w:szCs w:val="8"/>
                <w:color w:val="auto"/>
              </w:rPr>
            </w:pPr>
          </w:p>
        </w:tc>
        <w:tc>
          <w:tcPr>
            <w:tcW w:w="1160" w:type="dxa"/>
            <w:vAlign w:val="bottom"/>
            <w:tcBorders>
              <w:right w:val="single" w:sz="8" w:color="3C3C3C"/>
            </w:tcBorders>
            <w:vMerge w:val="continue"/>
            <w:shd w:val="clear" w:color="auto" w:fill="3C3C3C"/>
          </w:tcPr>
          <w:p>
            <w:pPr>
              <w:spacing w:after="0"/>
              <w:rPr>
                <w:sz w:val="8"/>
                <w:szCs w:val="8"/>
                <w:color w:val="auto"/>
              </w:rPr>
            </w:pPr>
          </w:p>
        </w:tc>
        <w:tc>
          <w:tcPr>
            <w:tcW w:w="1180" w:type="dxa"/>
            <w:vAlign w:val="bottom"/>
            <w:tcBorders>
              <w:right w:val="single" w:sz="8" w:color="3C3C3C"/>
            </w:tcBorders>
            <w:gridSpan w:val="2"/>
            <w:vMerge w:val="continue"/>
            <w:shd w:val="clear" w:color="auto" w:fill="3C3C3C"/>
          </w:tcPr>
          <w:p>
            <w:pPr>
              <w:spacing w:after="0"/>
              <w:rPr>
                <w:sz w:val="8"/>
                <w:szCs w:val="8"/>
                <w:color w:val="auto"/>
              </w:rPr>
            </w:pPr>
          </w:p>
        </w:tc>
        <w:tc>
          <w:tcPr>
            <w:tcW w:w="1040" w:type="dxa"/>
            <w:vAlign w:val="bottom"/>
            <w:shd w:val="clear" w:color="auto" w:fill="3C3C3C"/>
          </w:tcPr>
          <w:p>
            <w:pPr>
              <w:jc w:val="center"/>
              <w:ind w:left="324"/>
              <w:spacing w:after="0" w:line="95" w:lineRule="exact"/>
              <w:rPr>
                <w:sz w:val="20"/>
                <w:szCs w:val="20"/>
                <w:color w:val="auto"/>
              </w:rPr>
            </w:pPr>
            <w:r>
              <w:rPr>
                <w:rFonts w:ascii="Arial" w:cs="Arial" w:eastAsia="Arial" w:hAnsi="Arial"/>
                <w:sz w:val="10"/>
                <w:szCs w:val="10"/>
                <w:b w:val="1"/>
                <w:bCs w:val="1"/>
                <w:color w:val="FFFFFF"/>
              </w:rPr>
              <w:t>(#)</w:t>
            </w:r>
          </w:p>
        </w:tc>
        <w:tc>
          <w:tcPr>
            <w:tcW w:w="540" w:type="dxa"/>
            <w:vAlign w:val="bottom"/>
            <w:tcBorders>
              <w:right w:val="single" w:sz="8" w:color="3C3C3C"/>
            </w:tcBorders>
            <w:shd w:val="clear" w:color="auto" w:fill="3C3C3C"/>
          </w:tcPr>
          <w:p>
            <w:pPr>
              <w:spacing w:after="0"/>
              <w:rPr>
                <w:sz w:val="8"/>
                <w:szCs w:val="8"/>
                <w:color w:val="auto"/>
              </w:rPr>
            </w:pPr>
          </w:p>
        </w:tc>
        <w:tc>
          <w:tcPr>
            <w:tcW w:w="1040" w:type="dxa"/>
            <w:vAlign w:val="bottom"/>
            <w:shd w:val="clear" w:color="auto" w:fill="3C3C3C"/>
          </w:tcPr>
          <w:p>
            <w:pPr>
              <w:jc w:val="center"/>
              <w:spacing w:after="0" w:line="95" w:lineRule="exact"/>
              <w:rPr>
                <w:sz w:val="20"/>
                <w:szCs w:val="20"/>
                <w:color w:val="auto"/>
              </w:rPr>
            </w:pPr>
            <w:r>
              <w:rPr>
                <w:rFonts w:ascii="Arial" w:cs="Arial" w:eastAsia="Arial" w:hAnsi="Arial"/>
                <w:sz w:val="8"/>
                <w:szCs w:val="8"/>
                <w:b w:val="1"/>
                <w:bCs w:val="1"/>
                <w:color w:val="FFFFFF"/>
              </w:rPr>
              <w:t>($)</w:t>
            </w:r>
            <w:r>
              <w:rPr>
                <w:rFonts w:ascii="Arial" w:cs="Arial" w:eastAsia="Arial" w:hAnsi="Arial"/>
                <w:sz w:val="10"/>
                <w:szCs w:val="10"/>
                <w:b w:val="1"/>
                <w:bCs w:val="1"/>
                <w:color w:val="FFFFFF"/>
                <w:vertAlign w:val="superscript"/>
              </w:rPr>
              <w:t>(3)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660" w:type="dxa"/>
            <w:vAlign w:val="bottom"/>
            <w:tcBorders>
              <w:lef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Officer</w:t>
            </w:r>
          </w:p>
        </w:tc>
        <w:tc>
          <w:tcPr>
            <w:tcW w:w="120" w:type="dxa"/>
            <w:vAlign w:val="bottom"/>
            <w:tcBorders>
              <w:right w:val="single" w:sz="8" w:color="3C3C3C"/>
            </w:tcBorders>
            <w:shd w:val="clear" w:color="auto" w:fill="3C3C3C"/>
          </w:tcPr>
          <w:p>
            <w:pPr>
              <w:spacing w:after="0"/>
              <w:rPr>
                <w:sz w:val="16"/>
                <w:szCs w:val="16"/>
                <w:color w:val="auto"/>
              </w:rPr>
            </w:pPr>
          </w:p>
        </w:tc>
        <w:tc>
          <w:tcPr>
            <w:tcW w:w="1020" w:type="dxa"/>
            <w:vAlign w:val="bottom"/>
            <w:shd w:val="clear" w:color="auto" w:fill="3C3C3C"/>
          </w:tcPr>
          <w:p>
            <w:pPr>
              <w:spacing w:after="0"/>
              <w:rPr>
                <w:sz w:val="16"/>
                <w:szCs w:val="16"/>
                <w:color w:val="auto"/>
              </w:rPr>
            </w:pPr>
          </w:p>
        </w:tc>
        <w:tc>
          <w:tcPr>
            <w:tcW w:w="900" w:type="dxa"/>
            <w:vAlign w:val="bottom"/>
            <w:gridSpan w:val="2"/>
            <w:shd w:val="clear" w:color="auto" w:fill="3C3C3C"/>
          </w:tcPr>
          <w:p>
            <w:pPr>
              <w:jc w:val="center"/>
              <w:ind w:left="250"/>
              <w:spacing w:after="0"/>
              <w:rPr>
                <w:sz w:val="20"/>
                <w:szCs w:val="20"/>
                <w:color w:val="auto"/>
              </w:rPr>
            </w:pPr>
            <w:r>
              <w:rPr>
                <w:rFonts w:ascii="Arial" w:cs="Arial" w:eastAsia="Arial" w:hAnsi="Arial"/>
                <w:sz w:val="14"/>
                <w:szCs w:val="14"/>
                <w:b w:val="1"/>
                <w:bCs w:val="1"/>
                <w:color w:val="FFFFFF"/>
              </w:rPr>
              <w:t>($)</w:t>
            </w:r>
          </w:p>
        </w:tc>
        <w:tc>
          <w:tcPr>
            <w:tcW w:w="1400" w:type="dxa"/>
            <w:vAlign w:val="bottom"/>
            <w:gridSpan w:val="2"/>
            <w:shd w:val="clear" w:color="auto" w:fill="3C3C3C"/>
          </w:tcPr>
          <w:p>
            <w:pPr>
              <w:jc w:val="center"/>
              <w:ind w:left="250"/>
              <w:spacing w:after="0"/>
              <w:rPr>
                <w:sz w:val="20"/>
                <w:szCs w:val="20"/>
                <w:color w:val="auto"/>
              </w:rPr>
            </w:pPr>
            <w:r>
              <w:rPr>
                <w:rFonts w:ascii="Arial" w:cs="Arial" w:eastAsia="Arial" w:hAnsi="Arial"/>
                <w:sz w:val="14"/>
                <w:szCs w:val="14"/>
                <w:b w:val="1"/>
                <w:bCs w:val="1"/>
                <w:color w:val="FFFFFF"/>
                <w:w w:val="93"/>
              </w:rPr>
              <w:t>($)</w:t>
            </w:r>
          </w:p>
        </w:tc>
        <w:tc>
          <w:tcPr>
            <w:tcW w:w="920" w:type="dxa"/>
            <w:vAlign w:val="bottom"/>
            <w:gridSpan w:val="2"/>
            <w:shd w:val="clear" w:color="auto" w:fill="3C3C3C"/>
          </w:tcPr>
          <w:p>
            <w:pPr>
              <w:jc w:val="center"/>
              <w:ind w:left="170"/>
              <w:spacing w:after="0"/>
              <w:rPr>
                <w:sz w:val="20"/>
                <w:szCs w:val="20"/>
                <w:color w:val="auto"/>
              </w:rPr>
            </w:pPr>
            <w:r>
              <w:rPr>
                <w:rFonts w:ascii="Arial" w:cs="Arial" w:eastAsia="Arial" w:hAnsi="Arial"/>
                <w:sz w:val="14"/>
                <w:szCs w:val="14"/>
                <w:b w:val="1"/>
                <w:bCs w:val="1"/>
                <w:color w:val="FFFFFF"/>
                <w:w w:val="93"/>
              </w:rPr>
              <w:t>(#)</w:t>
            </w:r>
          </w:p>
        </w:tc>
        <w:tc>
          <w:tcPr>
            <w:tcW w:w="1420" w:type="dxa"/>
            <w:vAlign w:val="bottom"/>
            <w:tcBorders>
              <w:right w:val="single" w:sz="8" w:color="3C3C3C"/>
            </w:tcBorders>
            <w:gridSpan w:val="2"/>
            <w:shd w:val="clear" w:color="auto" w:fill="3C3C3C"/>
          </w:tcPr>
          <w:p>
            <w:pPr>
              <w:jc w:val="center"/>
              <w:ind w:left="30"/>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right w:val="single" w:sz="8" w:color="3C3C3C"/>
            </w:tcBorders>
            <w:shd w:val="clear" w:color="auto" w:fill="3C3C3C"/>
          </w:tcPr>
          <w:p>
            <w:pPr>
              <w:spacing w:after="0"/>
              <w:rPr>
                <w:sz w:val="16"/>
                <w:szCs w:val="16"/>
                <w:color w:val="auto"/>
              </w:rPr>
            </w:pPr>
          </w:p>
        </w:tc>
        <w:tc>
          <w:tcPr>
            <w:tcW w:w="1040" w:type="dxa"/>
            <w:vAlign w:val="bottom"/>
            <w:shd w:val="clear" w:color="auto" w:fill="3C3C3C"/>
          </w:tcPr>
          <w:p>
            <w:pPr>
              <w:spacing w:after="0"/>
              <w:rPr>
                <w:sz w:val="16"/>
                <w:szCs w:val="16"/>
                <w:color w:val="auto"/>
              </w:rPr>
            </w:pPr>
          </w:p>
        </w:tc>
        <w:tc>
          <w:tcPr>
            <w:tcW w:w="540" w:type="dxa"/>
            <w:vAlign w:val="bottom"/>
            <w:tcBorders>
              <w:right w:val="single" w:sz="8" w:color="3C3C3C"/>
            </w:tcBorders>
            <w:shd w:val="clear" w:color="auto" w:fill="3C3C3C"/>
          </w:tcPr>
          <w:p>
            <w:pPr>
              <w:spacing w:after="0"/>
              <w:rPr>
                <w:sz w:val="16"/>
                <w:szCs w:val="16"/>
                <w:color w:val="auto"/>
              </w:rPr>
            </w:pPr>
          </w:p>
        </w:tc>
        <w:tc>
          <w:tcPr>
            <w:tcW w:w="1040" w:type="dxa"/>
            <w:vAlign w:val="bottom"/>
            <w:shd w:val="clear" w:color="auto" w:fill="3C3C3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1660" w:type="dxa"/>
            <w:vAlign w:val="bottom"/>
            <w:tcBorders>
              <w:left w:val="single" w:sz="8" w:color="3C3C3C"/>
            </w:tcBorders>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020" w:type="dxa"/>
            <w:vAlign w:val="bottom"/>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780" w:type="dxa"/>
            <w:vAlign w:val="bottom"/>
            <w:shd w:val="clear" w:color="auto" w:fill="3C3C3C"/>
          </w:tcPr>
          <w:p>
            <w:pPr>
              <w:spacing w:after="0"/>
              <w:rPr>
                <w:sz w:val="6"/>
                <w:szCs w:val="6"/>
                <w:color w:val="auto"/>
              </w:rPr>
            </w:pPr>
          </w:p>
        </w:tc>
        <w:tc>
          <w:tcPr>
            <w:tcW w:w="340" w:type="dxa"/>
            <w:vAlign w:val="bottom"/>
            <w:tcBorders>
              <w:right w:val="single" w:sz="8" w:color="3C3C3C"/>
            </w:tcBorders>
            <w:shd w:val="clear" w:color="auto" w:fill="3C3C3C"/>
          </w:tcPr>
          <w:p>
            <w:pPr>
              <w:spacing w:after="0"/>
              <w:rPr>
                <w:sz w:val="6"/>
                <w:szCs w:val="6"/>
                <w:color w:val="auto"/>
              </w:rPr>
            </w:pPr>
          </w:p>
        </w:tc>
        <w:tc>
          <w:tcPr>
            <w:tcW w:w="1060" w:type="dxa"/>
            <w:vAlign w:val="bottom"/>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800" w:type="dxa"/>
            <w:vAlign w:val="bottom"/>
            <w:shd w:val="clear" w:color="auto" w:fill="3C3C3C"/>
          </w:tcPr>
          <w:p>
            <w:pPr>
              <w:spacing w:after="0"/>
              <w:rPr>
                <w:sz w:val="6"/>
                <w:szCs w:val="6"/>
                <w:color w:val="auto"/>
              </w:rPr>
            </w:pPr>
          </w:p>
        </w:tc>
        <w:tc>
          <w:tcPr>
            <w:tcW w:w="260" w:type="dxa"/>
            <w:vAlign w:val="bottom"/>
            <w:tcBorders>
              <w:right w:val="single" w:sz="8" w:color="3C3C3C"/>
            </w:tcBorders>
            <w:shd w:val="clear" w:color="auto" w:fill="3C3C3C"/>
          </w:tcPr>
          <w:p>
            <w:pPr>
              <w:spacing w:after="0"/>
              <w:rPr>
                <w:sz w:val="6"/>
                <w:szCs w:val="6"/>
                <w:color w:val="auto"/>
              </w:rPr>
            </w:pPr>
          </w:p>
        </w:tc>
        <w:tc>
          <w:tcPr>
            <w:tcW w:w="1160" w:type="dxa"/>
            <w:vAlign w:val="bottom"/>
            <w:tcBorders>
              <w:right w:val="single" w:sz="8" w:color="3C3C3C"/>
            </w:tcBorders>
            <w:shd w:val="clear" w:color="auto" w:fill="3C3C3C"/>
          </w:tcPr>
          <w:p>
            <w:pPr>
              <w:spacing w:after="0"/>
              <w:rPr>
                <w:sz w:val="6"/>
                <w:szCs w:val="6"/>
                <w:color w:val="auto"/>
              </w:rPr>
            </w:pPr>
          </w:p>
        </w:tc>
        <w:tc>
          <w:tcPr>
            <w:tcW w:w="1040" w:type="dxa"/>
            <w:vAlign w:val="bottom"/>
            <w:shd w:val="clear" w:color="auto" w:fill="3C3C3C"/>
          </w:tcPr>
          <w:p>
            <w:pPr>
              <w:spacing w:after="0"/>
              <w:rPr>
                <w:sz w:val="6"/>
                <w:szCs w:val="6"/>
                <w:color w:val="auto"/>
              </w:rPr>
            </w:pPr>
          </w:p>
        </w:tc>
        <w:tc>
          <w:tcPr>
            <w:tcW w:w="140" w:type="dxa"/>
            <w:vAlign w:val="bottom"/>
            <w:tcBorders>
              <w:right w:val="single" w:sz="8" w:color="3C3C3C"/>
            </w:tcBorders>
            <w:shd w:val="clear" w:color="auto" w:fill="3C3C3C"/>
          </w:tcPr>
          <w:p>
            <w:pPr>
              <w:spacing w:after="0"/>
              <w:rPr>
                <w:sz w:val="6"/>
                <w:szCs w:val="6"/>
                <w:color w:val="auto"/>
              </w:rPr>
            </w:pPr>
          </w:p>
        </w:tc>
        <w:tc>
          <w:tcPr>
            <w:tcW w:w="1040" w:type="dxa"/>
            <w:vAlign w:val="bottom"/>
            <w:shd w:val="clear" w:color="auto" w:fill="3C3C3C"/>
          </w:tcPr>
          <w:p>
            <w:pPr>
              <w:spacing w:after="0"/>
              <w:rPr>
                <w:sz w:val="6"/>
                <w:szCs w:val="6"/>
                <w:color w:val="auto"/>
              </w:rPr>
            </w:pPr>
          </w:p>
        </w:tc>
        <w:tc>
          <w:tcPr>
            <w:tcW w:w="540" w:type="dxa"/>
            <w:vAlign w:val="bottom"/>
            <w:tcBorders>
              <w:right w:val="single" w:sz="8" w:color="3C3C3C"/>
            </w:tcBorders>
            <w:shd w:val="clear" w:color="auto" w:fill="3C3C3C"/>
          </w:tcPr>
          <w:p>
            <w:pPr>
              <w:spacing w:after="0"/>
              <w:rPr>
                <w:sz w:val="6"/>
                <w:szCs w:val="6"/>
                <w:color w:val="auto"/>
              </w:rPr>
            </w:pPr>
          </w:p>
        </w:tc>
        <w:tc>
          <w:tcPr>
            <w:tcW w:w="1040" w:type="dxa"/>
            <w:vAlign w:val="bottom"/>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660" w:type="dxa"/>
            <w:vAlign w:val="bottom"/>
            <w:tcBorders>
              <w:left w:val="single" w:sz="8" w:color="7D7D7D"/>
            </w:tcBorders>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10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3/8/2023</w:t>
            </w:r>
          </w:p>
        </w:tc>
        <w:tc>
          <w:tcPr>
            <w:tcW w:w="120" w:type="dxa"/>
            <w:vAlign w:val="bottom"/>
            <w:tcBorders>
              <w:right w:val="single" w:sz="8" w:color="7D7D7D"/>
            </w:tcBorders>
            <w:shd w:val="clear" w:color="auto" w:fill="FAF6EF"/>
          </w:tcPr>
          <w:p>
            <w:pPr>
              <w:spacing w:after="0"/>
              <w:rPr>
                <w:sz w:val="11"/>
                <w:szCs w:val="11"/>
                <w:color w:val="auto"/>
              </w:rPr>
            </w:pPr>
          </w:p>
        </w:tc>
        <w:tc>
          <w:tcPr>
            <w:tcW w:w="780" w:type="dxa"/>
            <w:vAlign w:val="bottom"/>
            <w:vMerge w:val="restart"/>
            <w:shd w:val="clear" w:color="auto" w:fill="FAF6EF"/>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shd w:val="clear" w:color="auto" w:fill="FAF6EF"/>
          </w:tcPr>
          <w:p>
            <w:pPr>
              <w:spacing w:after="0"/>
              <w:rPr>
                <w:sz w:val="11"/>
                <w:szCs w:val="11"/>
                <w:color w:val="auto"/>
              </w:rPr>
            </w:pP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shd w:val="clear" w:color="auto" w:fill="FAF6EF"/>
          </w:tcPr>
          <w:p>
            <w:pPr>
              <w:spacing w:after="0"/>
              <w:rPr>
                <w:sz w:val="11"/>
                <w:szCs w:val="11"/>
                <w:color w:val="auto"/>
              </w:rPr>
            </w:pPr>
          </w:p>
        </w:tc>
        <w:tc>
          <w:tcPr>
            <w:tcW w:w="800" w:type="dxa"/>
            <w:vAlign w:val="bottom"/>
            <w:vMerge w:val="restart"/>
            <w:shd w:val="clear" w:color="auto" w:fill="FAF6EF"/>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shd w:val="clear" w:color="auto" w:fill="FAF6EF"/>
          </w:tcPr>
          <w:p>
            <w:pPr>
              <w:spacing w:after="0"/>
              <w:rPr>
                <w:sz w:val="11"/>
                <w:szCs w:val="11"/>
                <w:color w:val="auto"/>
              </w:rPr>
            </w:pPr>
          </w:p>
        </w:tc>
        <w:tc>
          <w:tcPr>
            <w:tcW w:w="1160" w:type="dxa"/>
            <w:vAlign w:val="bottom"/>
            <w:tcBorders>
              <w:right w:val="single" w:sz="8" w:color="7D7D7D"/>
            </w:tcBorders>
            <w:vMerge w:val="restart"/>
            <w:shd w:val="clear" w:color="auto" w:fill="FAF6EF"/>
          </w:tcPr>
          <w:p>
            <w:pPr>
              <w:jc w:val="center"/>
              <w:ind w:right="82"/>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7D7D7D"/>
            </w:tcBorders>
            <w:gridSpan w:val="2"/>
            <w:vMerge w:val="restart"/>
            <w:shd w:val="clear" w:color="auto" w:fill="FAF6EF"/>
          </w:tcPr>
          <w:p>
            <w:pPr>
              <w:jc w:val="center"/>
              <w:ind w:right="140"/>
              <w:spacing w:after="0"/>
              <w:rPr>
                <w:sz w:val="20"/>
                <w:szCs w:val="20"/>
                <w:color w:val="auto"/>
              </w:rPr>
            </w:pPr>
            <w:r>
              <w:rPr>
                <w:rFonts w:ascii="Arial" w:cs="Arial" w:eastAsia="Arial" w:hAnsi="Arial"/>
                <w:sz w:val="16"/>
                <w:szCs w:val="16"/>
                <w:color w:val="auto"/>
                <w:w w:val="99"/>
              </w:rPr>
              <w:t>—</w:t>
            </w:r>
          </w:p>
        </w:tc>
        <w:tc>
          <w:tcPr>
            <w:tcW w:w="1040" w:type="dxa"/>
            <w:vAlign w:val="bottom"/>
            <w:vMerge w:val="restart"/>
            <w:shd w:val="clear" w:color="auto" w:fill="FAF6EF"/>
          </w:tcPr>
          <w:p>
            <w:pPr>
              <w:jc w:val="center"/>
              <w:ind w:right="124"/>
              <w:spacing w:after="0"/>
              <w:rPr>
                <w:sz w:val="20"/>
                <w:szCs w:val="20"/>
                <w:color w:val="auto"/>
              </w:rPr>
            </w:pPr>
            <w:r>
              <w:rPr>
                <w:rFonts w:ascii="Arial" w:cs="Arial" w:eastAsia="Arial" w:hAnsi="Arial"/>
                <w:sz w:val="16"/>
                <w:szCs w:val="16"/>
                <w:color w:val="auto"/>
                <w:w w:val="98"/>
              </w:rPr>
              <w:t>26,400</w:t>
            </w:r>
          </w:p>
        </w:tc>
        <w:tc>
          <w:tcPr>
            <w:tcW w:w="540" w:type="dxa"/>
            <w:vAlign w:val="bottom"/>
            <w:tcBorders>
              <w:right w:val="single" w:sz="8" w:color="7D7D7D"/>
            </w:tcBorders>
            <w:shd w:val="clear" w:color="auto" w:fill="FAF6EF"/>
          </w:tcPr>
          <w:p>
            <w:pPr>
              <w:jc w:val="right"/>
              <w:ind w:right="309"/>
              <w:spacing w:after="0"/>
              <w:rPr>
                <w:sz w:val="20"/>
                <w:szCs w:val="20"/>
                <w:color w:val="auto"/>
              </w:rPr>
            </w:pPr>
            <w:r>
              <w:rPr>
                <w:rFonts w:ascii="Arial" w:cs="Arial" w:eastAsia="Arial" w:hAnsi="Arial"/>
                <w:sz w:val="10"/>
                <w:szCs w:val="10"/>
                <w:color w:val="auto"/>
              </w:rPr>
              <w:t>(4)</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5,763,384</w:t>
            </w: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60" w:type="dxa"/>
            <w:vAlign w:val="bottom"/>
            <w:tcBorders>
              <w:left w:val="single" w:sz="8" w:color="7D7D7D"/>
            </w:tcBorders>
            <w:shd w:val="clear" w:color="auto" w:fill="FAF6EF"/>
          </w:tcPr>
          <w:p>
            <w:pPr>
              <w:spacing w:after="0"/>
              <w:rPr>
                <w:sz w:val="8"/>
                <w:szCs w:val="8"/>
                <w:color w:val="auto"/>
              </w:rPr>
            </w:pPr>
          </w:p>
        </w:tc>
        <w:tc>
          <w:tcPr>
            <w:tcW w:w="120" w:type="dxa"/>
            <w:vAlign w:val="bottom"/>
            <w:tcBorders>
              <w:right w:val="single" w:sz="8" w:color="7D7D7D"/>
            </w:tcBorders>
            <w:shd w:val="clear" w:color="auto" w:fill="FAF6EF"/>
          </w:tcPr>
          <w:p>
            <w:pPr>
              <w:spacing w:after="0"/>
              <w:rPr>
                <w:sz w:val="8"/>
                <w:szCs w:val="8"/>
                <w:color w:val="auto"/>
              </w:rPr>
            </w:pPr>
          </w:p>
        </w:tc>
        <w:tc>
          <w:tcPr>
            <w:tcW w:w="1020" w:type="dxa"/>
            <w:vAlign w:val="bottom"/>
            <w:vMerge w:val="continue"/>
            <w:shd w:val="clear" w:color="auto" w:fill="FAF6EF"/>
          </w:tcPr>
          <w:p>
            <w:pPr>
              <w:spacing w:after="0"/>
              <w:rPr>
                <w:sz w:val="8"/>
                <w:szCs w:val="8"/>
                <w:color w:val="auto"/>
              </w:rPr>
            </w:pPr>
          </w:p>
        </w:tc>
        <w:tc>
          <w:tcPr>
            <w:tcW w:w="120" w:type="dxa"/>
            <w:vAlign w:val="bottom"/>
            <w:tcBorders>
              <w:right w:val="single" w:sz="8" w:color="7D7D7D"/>
            </w:tcBorders>
            <w:shd w:val="clear" w:color="auto" w:fill="FAF6EF"/>
          </w:tcPr>
          <w:p>
            <w:pPr>
              <w:spacing w:after="0"/>
              <w:rPr>
                <w:sz w:val="8"/>
                <w:szCs w:val="8"/>
                <w:color w:val="auto"/>
              </w:rPr>
            </w:pPr>
          </w:p>
        </w:tc>
        <w:tc>
          <w:tcPr>
            <w:tcW w:w="780" w:type="dxa"/>
            <w:vAlign w:val="bottom"/>
            <w:vMerge w:val="continue"/>
            <w:shd w:val="clear" w:color="auto" w:fill="FAF6EF"/>
          </w:tcPr>
          <w:p>
            <w:pPr>
              <w:spacing w:after="0"/>
              <w:rPr>
                <w:sz w:val="8"/>
                <w:szCs w:val="8"/>
                <w:color w:val="auto"/>
              </w:rPr>
            </w:pPr>
          </w:p>
        </w:tc>
        <w:tc>
          <w:tcPr>
            <w:tcW w:w="340" w:type="dxa"/>
            <w:vAlign w:val="bottom"/>
            <w:tcBorders>
              <w:right w:val="single" w:sz="8" w:color="7D7D7D"/>
            </w:tcBorders>
            <w:shd w:val="clear" w:color="auto" w:fill="FAF6EF"/>
          </w:tcPr>
          <w:p>
            <w:pPr>
              <w:spacing w:after="0"/>
              <w:rPr>
                <w:sz w:val="8"/>
                <w:szCs w:val="8"/>
                <w:color w:val="auto"/>
              </w:rPr>
            </w:pPr>
          </w:p>
        </w:tc>
        <w:tc>
          <w:tcPr>
            <w:tcW w:w="1060" w:type="dxa"/>
            <w:vAlign w:val="bottom"/>
            <w:vMerge w:val="continue"/>
            <w:shd w:val="clear" w:color="auto" w:fill="FAF6EF"/>
          </w:tcPr>
          <w:p>
            <w:pPr>
              <w:spacing w:after="0"/>
              <w:rPr>
                <w:sz w:val="8"/>
                <w:szCs w:val="8"/>
                <w:color w:val="auto"/>
              </w:rPr>
            </w:pPr>
          </w:p>
        </w:tc>
        <w:tc>
          <w:tcPr>
            <w:tcW w:w="120" w:type="dxa"/>
            <w:vAlign w:val="bottom"/>
            <w:tcBorders>
              <w:right w:val="single" w:sz="8" w:color="7D7D7D"/>
            </w:tcBorders>
            <w:shd w:val="clear" w:color="auto" w:fill="FAF6EF"/>
          </w:tcPr>
          <w:p>
            <w:pPr>
              <w:spacing w:after="0"/>
              <w:rPr>
                <w:sz w:val="8"/>
                <w:szCs w:val="8"/>
                <w:color w:val="auto"/>
              </w:rPr>
            </w:pPr>
          </w:p>
        </w:tc>
        <w:tc>
          <w:tcPr>
            <w:tcW w:w="800" w:type="dxa"/>
            <w:vAlign w:val="bottom"/>
            <w:vMerge w:val="continue"/>
            <w:shd w:val="clear" w:color="auto" w:fill="FAF6EF"/>
          </w:tcPr>
          <w:p>
            <w:pPr>
              <w:spacing w:after="0"/>
              <w:rPr>
                <w:sz w:val="8"/>
                <w:szCs w:val="8"/>
                <w:color w:val="auto"/>
              </w:rPr>
            </w:pPr>
          </w:p>
        </w:tc>
        <w:tc>
          <w:tcPr>
            <w:tcW w:w="260" w:type="dxa"/>
            <w:vAlign w:val="bottom"/>
            <w:tcBorders>
              <w:right w:val="single" w:sz="8" w:color="7D7D7D"/>
            </w:tcBorders>
            <w:shd w:val="clear" w:color="auto" w:fill="FAF6EF"/>
          </w:tcPr>
          <w:p>
            <w:pPr>
              <w:spacing w:after="0"/>
              <w:rPr>
                <w:sz w:val="8"/>
                <w:szCs w:val="8"/>
                <w:color w:val="auto"/>
              </w:rPr>
            </w:pPr>
          </w:p>
        </w:tc>
        <w:tc>
          <w:tcPr>
            <w:tcW w:w="1160" w:type="dxa"/>
            <w:vAlign w:val="bottom"/>
            <w:tcBorders>
              <w:right w:val="single" w:sz="8" w:color="7D7D7D"/>
            </w:tcBorders>
            <w:vMerge w:val="continue"/>
            <w:shd w:val="clear" w:color="auto" w:fill="FAF6EF"/>
          </w:tcPr>
          <w:p>
            <w:pPr>
              <w:spacing w:after="0"/>
              <w:rPr>
                <w:sz w:val="8"/>
                <w:szCs w:val="8"/>
                <w:color w:val="auto"/>
              </w:rPr>
            </w:pPr>
          </w:p>
        </w:tc>
        <w:tc>
          <w:tcPr>
            <w:tcW w:w="1180" w:type="dxa"/>
            <w:vAlign w:val="bottom"/>
            <w:tcBorders>
              <w:right w:val="single" w:sz="8" w:color="7D7D7D"/>
            </w:tcBorders>
            <w:gridSpan w:val="2"/>
            <w:vMerge w:val="continue"/>
            <w:shd w:val="clear" w:color="auto" w:fill="FAF6EF"/>
          </w:tcPr>
          <w:p>
            <w:pPr>
              <w:spacing w:after="0"/>
              <w:rPr>
                <w:sz w:val="8"/>
                <w:szCs w:val="8"/>
                <w:color w:val="auto"/>
              </w:rPr>
            </w:pPr>
          </w:p>
        </w:tc>
        <w:tc>
          <w:tcPr>
            <w:tcW w:w="1040" w:type="dxa"/>
            <w:vAlign w:val="bottom"/>
            <w:vMerge w:val="continue"/>
            <w:shd w:val="clear" w:color="auto" w:fill="FAF6EF"/>
          </w:tcPr>
          <w:p>
            <w:pPr>
              <w:spacing w:after="0"/>
              <w:rPr>
                <w:sz w:val="8"/>
                <w:szCs w:val="8"/>
                <w:color w:val="auto"/>
              </w:rPr>
            </w:pPr>
          </w:p>
        </w:tc>
        <w:tc>
          <w:tcPr>
            <w:tcW w:w="540" w:type="dxa"/>
            <w:vAlign w:val="bottom"/>
            <w:tcBorders>
              <w:right w:val="single" w:sz="8" w:color="7D7D7D"/>
            </w:tcBorders>
            <w:vMerge w:val="restart"/>
            <w:shd w:val="clear" w:color="auto" w:fill="FAF6EF"/>
          </w:tcPr>
          <w:p>
            <w:pPr>
              <w:jc w:val="right"/>
              <w:ind w:right="309"/>
              <w:spacing w:after="0"/>
              <w:rPr>
                <w:sz w:val="20"/>
                <w:szCs w:val="20"/>
                <w:color w:val="auto"/>
              </w:rPr>
            </w:pPr>
            <w:r>
              <w:rPr>
                <w:rFonts w:ascii="Arial" w:cs="Arial" w:eastAsia="Arial" w:hAnsi="Arial"/>
                <w:sz w:val="10"/>
                <w:szCs w:val="10"/>
                <w:color w:val="auto"/>
              </w:rPr>
              <w:t>(5)</w:t>
            </w:r>
          </w:p>
        </w:tc>
        <w:tc>
          <w:tcPr>
            <w:tcW w:w="1040" w:type="dxa"/>
            <w:vAlign w:val="bottom"/>
            <w:vMerge w:val="continue"/>
            <w:shd w:val="clear" w:color="auto" w:fill="FAF6EF"/>
          </w:tcPr>
          <w:p>
            <w:pPr>
              <w:spacing w:after="0"/>
              <w:rPr>
                <w:sz w:val="8"/>
                <w:szCs w:val="8"/>
                <w:color w:val="auto"/>
              </w:rPr>
            </w:pPr>
          </w:p>
        </w:tc>
        <w:tc>
          <w:tcPr>
            <w:tcW w:w="20" w:type="dxa"/>
            <w:vAlign w:val="bottom"/>
            <w:shd w:val="clear" w:color="auto" w:fill="7D7D7D"/>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660" w:type="dxa"/>
            <w:vAlign w:val="bottom"/>
            <w:tcBorders>
              <w:left w:val="single" w:sz="8" w:color="7D7D7D"/>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w:t>
            </w:r>
          </w:p>
        </w:tc>
        <w:tc>
          <w:tcPr>
            <w:tcW w:w="120" w:type="dxa"/>
            <w:vAlign w:val="bottom"/>
            <w:tcBorders>
              <w:right w:val="single" w:sz="8" w:color="7D7D7D"/>
            </w:tcBorders>
            <w:shd w:val="clear" w:color="auto" w:fill="FAF6EF"/>
          </w:tcPr>
          <w:p>
            <w:pPr>
              <w:spacing w:after="0"/>
              <w:rPr>
                <w:sz w:val="10"/>
                <w:szCs w:val="10"/>
                <w:color w:val="auto"/>
              </w:rPr>
            </w:pPr>
          </w:p>
        </w:tc>
        <w:tc>
          <w:tcPr>
            <w:tcW w:w="10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3/8/2023</w:t>
            </w:r>
          </w:p>
        </w:tc>
        <w:tc>
          <w:tcPr>
            <w:tcW w:w="120" w:type="dxa"/>
            <w:vAlign w:val="bottom"/>
            <w:tcBorders>
              <w:right w:val="single" w:sz="8" w:color="7D7D7D"/>
            </w:tcBorders>
            <w:shd w:val="clear" w:color="auto" w:fill="FAF6EF"/>
          </w:tcPr>
          <w:p>
            <w:pPr>
              <w:spacing w:after="0"/>
              <w:rPr>
                <w:sz w:val="10"/>
                <w:szCs w:val="10"/>
                <w:color w:val="auto"/>
              </w:rPr>
            </w:pPr>
          </w:p>
        </w:tc>
        <w:tc>
          <w:tcPr>
            <w:tcW w:w="780" w:type="dxa"/>
            <w:vAlign w:val="bottom"/>
            <w:vMerge w:val="restart"/>
            <w:shd w:val="clear" w:color="auto" w:fill="FAF6EF"/>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shd w:val="clear" w:color="auto" w:fill="FAF6EF"/>
          </w:tcPr>
          <w:p>
            <w:pPr>
              <w:spacing w:after="0"/>
              <w:rPr>
                <w:sz w:val="10"/>
                <w:szCs w:val="10"/>
                <w:color w:val="auto"/>
              </w:rPr>
            </w:pP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shd w:val="clear" w:color="auto" w:fill="FAF6EF"/>
          </w:tcPr>
          <w:p>
            <w:pPr>
              <w:spacing w:after="0"/>
              <w:rPr>
                <w:sz w:val="10"/>
                <w:szCs w:val="10"/>
                <w:color w:val="auto"/>
              </w:rPr>
            </w:pPr>
          </w:p>
        </w:tc>
        <w:tc>
          <w:tcPr>
            <w:tcW w:w="800" w:type="dxa"/>
            <w:vAlign w:val="bottom"/>
            <w:vMerge w:val="restart"/>
            <w:shd w:val="clear" w:color="auto" w:fill="FAF6EF"/>
          </w:tcPr>
          <w:p>
            <w:pPr>
              <w:jc w:val="center"/>
              <w:ind w:left="42"/>
              <w:spacing w:after="0"/>
              <w:rPr>
                <w:sz w:val="20"/>
                <w:szCs w:val="20"/>
                <w:color w:val="auto"/>
              </w:rPr>
            </w:pPr>
            <w:r>
              <w:rPr>
                <w:rFonts w:ascii="Arial" w:cs="Arial" w:eastAsia="Arial" w:hAnsi="Arial"/>
                <w:sz w:val="16"/>
                <w:szCs w:val="16"/>
                <w:color w:val="auto"/>
                <w:w w:val="98"/>
              </w:rPr>
              <w:t>13,200</w:t>
            </w:r>
          </w:p>
        </w:tc>
        <w:tc>
          <w:tcPr>
            <w:tcW w:w="260" w:type="dxa"/>
            <w:vAlign w:val="bottom"/>
            <w:tcBorders>
              <w:right w:val="single" w:sz="8" w:color="7D7D7D"/>
            </w:tcBorders>
            <w:shd w:val="clear" w:color="auto" w:fill="FAF6EF"/>
          </w:tcPr>
          <w:p>
            <w:pPr>
              <w:spacing w:after="0"/>
              <w:rPr>
                <w:sz w:val="10"/>
                <w:szCs w:val="10"/>
                <w:color w:val="auto"/>
              </w:rPr>
            </w:pPr>
          </w:p>
        </w:tc>
        <w:tc>
          <w:tcPr>
            <w:tcW w:w="1160" w:type="dxa"/>
            <w:vAlign w:val="bottom"/>
            <w:tcBorders>
              <w:right w:val="single" w:sz="8" w:color="7D7D7D"/>
            </w:tcBorders>
            <w:vMerge w:val="restart"/>
            <w:shd w:val="clear" w:color="auto" w:fill="FAF6EF"/>
          </w:tcPr>
          <w:p>
            <w:pPr>
              <w:jc w:val="center"/>
              <w:ind w:right="82"/>
              <w:spacing w:after="0"/>
              <w:rPr>
                <w:sz w:val="20"/>
                <w:szCs w:val="20"/>
                <w:color w:val="auto"/>
              </w:rPr>
            </w:pPr>
            <w:r>
              <w:rPr>
                <w:rFonts w:ascii="Arial" w:cs="Arial" w:eastAsia="Arial" w:hAnsi="Arial"/>
                <w:sz w:val="16"/>
                <w:szCs w:val="16"/>
                <w:color w:val="auto"/>
                <w:w w:val="98"/>
              </w:rPr>
              <w:t>26,400</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39,600</w:t>
            </w:r>
          </w:p>
        </w:tc>
        <w:tc>
          <w:tcPr>
            <w:tcW w:w="140" w:type="dxa"/>
            <w:vAlign w:val="bottom"/>
            <w:tcBorders>
              <w:right w:val="single" w:sz="8" w:color="7D7D7D"/>
            </w:tcBorders>
            <w:shd w:val="clear" w:color="auto" w:fill="FAF6EF"/>
          </w:tcPr>
          <w:p>
            <w:pPr>
              <w:spacing w:after="0"/>
              <w:rPr>
                <w:sz w:val="10"/>
                <w:szCs w:val="10"/>
                <w:color w:val="auto"/>
              </w:rPr>
            </w:pPr>
          </w:p>
        </w:tc>
        <w:tc>
          <w:tcPr>
            <w:tcW w:w="1040" w:type="dxa"/>
            <w:vAlign w:val="bottom"/>
            <w:vMerge w:val="restart"/>
            <w:shd w:val="clear" w:color="auto" w:fill="FAF6EF"/>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right w:val="single" w:sz="8" w:color="7D7D7D"/>
            </w:tcBorders>
            <w:vMerge w:val="continue"/>
            <w:shd w:val="clear" w:color="auto" w:fill="FAF6EF"/>
          </w:tcPr>
          <w:p>
            <w:pPr>
              <w:spacing w:after="0"/>
              <w:rPr>
                <w:sz w:val="10"/>
                <w:szCs w:val="10"/>
                <w:color w:val="auto"/>
              </w:rPr>
            </w:pP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5,763,384</w:t>
            </w: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660" w:type="dxa"/>
            <w:vAlign w:val="bottom"/>
            <w:tcBorders>
              <w:left w:val="single" w:sz="8" w:color="7D7D7D"/>
            </w:tcBorders>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102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780" w:type="dxa"/>
            <w:vAlign w:val="bottom"/>
            <w:vMerge w:val="continue"/>
            <w:shd w:val="clear" w:color="auto" w:fill="FAF6EF"/>
          </w:tcPr>
          <w:p>
            <w:pPr>
              <w:spacing w:after="0"/>
              <w:rPr>
                <w:sz w:val="11"/>
                <w:szCs w:val="11"/>
                <w:color w:val="auto"/>
              </w:rPr>
            </w:pPr>
          </w:p>
        </w:tc>
        <w:tc>
          <w:tcPr>
            <w:tcW w:w="340" w:type="dxa"/>
            <w:vAlign w:val="bottom"/>
            <w:tcBorders>
              <w:right w:val="single" w:sz="8" w:color="7D7D7D"/>
            </w:tcBorders>
            <w:shd w:val="clear" w:color="auto" w:fill="FAF6EF"/>
          </w:tcPr>
          <w:p>
            <w:pPr>
              <w:spacing w:after="0"/>
              <w:rPr>
                <w:sz w:val="11"/>
                <w:szCs w:val="11"/>
                <w:color w:val="auto"/>
              </w:rPr>
            </w:pPr>
          </w:p>
        </w:tc>
        <w:tc>
          <w:tcPr>
            <w:tcW w:w="106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800" w:type="dxa"/>
            <w:vAlign w:val="bottom"/>
            <w:vMerge w:val="continue"/>
            <w:shd w:val="clear" w:color="auto" w:fill="FAF6EF"/>
          </w:tcPr>
          <w:p>
            <w:pPr>
              <w:spacing w:after="0"/>
              <w:rPr>
                <w:sz w:val="11"/>
                <w:szCs w:val="11"/>
                <w:color w:val="auto"/>
              </w:rPr>
            </w:pPr>
          </w:p>
        </w:tc>
        <w:tc>
          <w:tcPr>
            <w:tcW w:w="260" w:type="dxa"/>
            <w:vAlign w:val="bottom"/>
            <w:tcBorders>
              <w:right w:val="single" w:sz="8" w:color="7D7D7D"/>
            </w:tcBorders>
            <w:shd w:val="clear" w:color="auto" w:fill="FAF6EF"/>
          </w:tcPr>
          <w:p>
            <w:pPr>
              <w:spacing w:after="0"/>
              <w:rPr>
                <w:sz w:val="11"/>
                <w:szCs w:val="11"/>
                <w:color w:val="auto"/>
              </w:rPr>
            </w:pPr>
          </w:p>
        </w:tc>
        <w:tc>
          <w:tcPr>
            <w:tcW w:w="1160" w:type="dxa"/>
            <w:vAlign w:val="bottom"/>
            <w:tcBorders>
              <w:right w:val="single" w:sz="8" w:color="7D7D7D"/>
            </w:tcBorders>
            <w:vMerge w:val="continue"/>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140" w:type="dxa"/>
            <w:vAlign w:val="bottom"/>
            <w:tcBorders>
              <w:right w:val="single" w:sz="8" w:color="7D7D7D"/>
            </w:tcBorders>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540" w:type="dxa"/>
            <w:vAlign w:val="bottom"/>
            <w:tcBorders>
              <w:right w:val="single" w:sz="8" w:color="7D7D7D"/>
            </w:tcBorders>
            <w:vMerge w:val="restart"/>
            <w:shd w:val="clear" w:color="auto" w:fill="FAF6EF"/>
          </w:tcPr>
          <w:p>
            <w:pPr>
              <w:jc w:val="right"/>
              <w:ind w:right="309"/>
              <w:spacing w:after="0"/>
              <w:rPr>
                <w:sz w:val="20"/>
                <w:szCs w:val="20"/>
                <w:color w:val="auto"/>
              </w:rPr>
            </w:pPr>
            <w:r>
              <w:rPr>
                <w:rFonts w:ascii="Arial" w:cs="Arial" w:eastAsia="Arial" w:hAnsi="Arial"/>
                <w:sz w:val="10"/>
                <w:szCs w:val="10"/>
                <w:color w:val="auto"/>
              </w:rPr>
              <w:t>(6)</w:t>
            </w:r>
          </w:p>
        </w:tc>
        <w:tc>
          <w:tcPr>
            <w:tcW w:w="1040" w:type="dxa"/>
            <w:vAlign w:val="bottom"/>
            <w:vMerge w:val="continue"/>
            <w:shd w:val="clear" w:color="auto" w:fill="FAF6EF"/>
          </w:tcPr>
          <w:p>
            <w:pPr>
              <w:spacing w:after="0"/>
              <w:rPr>
                <w:sz w:val="11"/>
                <w:szCs w:val="11"/>
                <w:color w:val="auto"/>
              </w:rPr>
            </w:pP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660" w:type="dxa"/>
            <w:vAlign w:val="bottom"/>
            <w:tcBorders>
              <w:left w:val="single" w:sz="8" w:color="7D7D7D"/>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Kothandaraman</w:t>
            </w:r>
          </w:p>
        </w:tc>
        <w:tc>
          <w:tcPr>
            <w:tcW w:w="120" w:type="dxa"/>
            <w:vAlign w:val="bottom"/>
            <w:tcBorders>
              <w:right w:val="single" w:sz="8" w:color="7D7D7D"/>
            </w:tcBorders>
            <w:shd w:val="clear" w:color="auto" w:fill="FAF6EF"/>
          </w:tcPr>
          <w:p>
            <w:pPr>
              <w:spacing w:after="0"/>
              <w:rPr>
                <w:sz w:val="10"/>
                <w:szCs w:val="10"/>
                <w:color w:val="auto"/>
              </w:rPr>
            </w:pPr>
          </w:p>
        </w:tc>
        <w:tc>
          <w:tcPr>
            <w:tcW w:w="10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3/8/2023</w:t>
            </w:r>
          </w:p>
        </w:tc>
        <w:tc>
          <w:tcPr>
            <w:tcW w:w="120" w:type="dxa"/>
            <w:vAlign w:val="bottom"/>
            <w:tcBorders>
              <w:right w:val="single" w:sz="8" w:color="7D7D7D"/>
            </w:tcBorders>
            <w:shd w:val="clear" w:color="auto" w:fill="FAF6EF"/>
          </w:tcPr>
          <w:p>
            <w:pPr>
              <w:spacing w:after="0"/>
              <w:rPr>
                <w:sz w:val="10"/>
                <w:szCs w:val="10"/>
                <w:color w:val="auto"/>
              </w:rPr>
            </w:pPr>
          </w:p>
        </w:tc>
        <w:tc>
          <w:tcPr>
            <w:tcW w:w="780" w:type="dxa"/>
            <w:vAlign w:val="bottom"/>
            <w:vMerge w:val="restart"/>
            <w:shd w:val="clear" w:color="auto" w:fill="FAF6EF"/>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shd w:val="clear" w:color="auto" w:fill="FAF6EF"/>
          </w:tcPr>
          <w:p>
            <w:pPr>
              <w:spacing w:after="0"/>
              <w:rPr>
                <w:sz w:val="10"/>
                <w:szCs w:val="10"/>
                <w:color w:val="auto"/>
              </w:rPr>
            </w:pP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shd w:val="clear" w:color="auto" w:fill="FAF6EF"/>
          </w:tcPr>
          <w:p>
            <w:pPr>
              <w:spacing w:after="0"/>
              <w:rPr>
                <w:sz w:val="10"/>
                <w:szCs w:val="10"/>
                <w:color w:val="auto"/>
              </w:rPr>
            </w:pPr>
          </w:p>
        </w:tc>
        <w:tc>
          <w:tcPr>
            <w:tcW w:w="800" w:type="dxa"/>
            <w:vAlign w:val="bottom"/>
            <w:vMerge w:val="restart"/>
            <w:shd w:val="clear" w:color="auto" w:fill="FAF6EF"/>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shd w:val="clear" w:color="auto" w:fill="FAF6EF"/>
          </w:tcPr>
          <w:p>
            <w:pPr>
              <w:spacing w:after="0"/>
              <w:rPr>
                <w:sz w:val="10"/>
                <w:szCs w:val="10"/>
                <w:color w:val="auto"/>
              </w:rPr>
            </w:pPr>
          </w:p>
        </w:tc>
        <w:tc>
          <w:tcPr>
            <w:tcW w:w="1160" w:type="dxa"/>
            <w:vAlign w:val="bottom"/>
            <w:tcBorders>
              <w:right w:val="single" w:sz="8" w:color="7D7D7D"/>
            </w:tcBorders>
            <w:vMerge w:val="restart"/>
            <w:shd w:val="clear" w:color="auto" w:fill="FAF6EF"/>
          </w:tcPr>
          <w:p>
            <w:pPr>
              <w:jc w:val="center"/>
              <w:ind w:right="82"/>
              <w:spacing w:after="0"/>
              <w:rPr>
                <w:sz w:val="20"/>
                <w:szCs w:val="20"/>
                <w:color w:val="auto"/>
              </w:rPr>
            </w:pPr>
            <w:r>
              <w:rPr>
                <w:rFonts w:ascii="Arial" w:cs="Arial" w:eastAsia="Arial" w:hAnsi="Arial"/>
                <w:sz w:val="16"/>
                <w:szCs w:val="16"/>
                <w:color w:val="auto"/>
                <w:w w:val="98"/>
              </w:rPr>
              <w:t>27,200</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54,400</w:t>
            </w:r>
          </w:p>
        </w:tc>
        <w:tc>
          <w:tcPr>
            <w:tcW w:w="140" w:type="dxa"/>
            <w:vAlign w:val="bottom"/>
            <w:tcBorders>
              <w:right w:val="single" w:sz="8" w:color="7D7D7D"/>
            </w:tcBorders>
            <w:shd w:val="clear" w:color="auto" w:fill="FAF6EF"/>
          </w:tcPr>
          <w:p>
            <w:pPr>
              <w:spacing w:after="0"/>
              <w:rPr>
                <w:sz w:val="10"/>
                <w:szCs w:val="10"/>
                <w:color w:val="auto"/>
              </w:rPr>
            </w:pPr>
          </w:p>
        </w:tc>
        <w:tc>
          <w:tcPr>
            <w:tcW w:w="1040" w:type="dxa"/>
            <w:vAlign w:val="bottom"/>
            <w:vMerge w:val="restart"/>
            <w:shd w:val="clear" w:color="auto" w:fill="FAF6EF"/>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right w:val="single" w:sz="8" w:color="7D7D7D"/>
            </w:tcBorders>
            <w:vMerge w:val="continue"/>
            <w:shd w:val="clear" w:color="auto" w:fill="FAF6EF"/>
          </w:tcPr>
          <w:p>
            <w:pPr>
              <w:spacing w:after="0"/>
              <w:rPr>
                <w:sz w:val="10"/>
                <w:szCs w:val="10"/>
                <w:color w:val="auto"/>
              </w:rPr>
            </w:pP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7,277,904</w:t>
            </w: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tcBorders>
              <w:left w:val="single" w:sz="8" w:color="7D7D7D"/>
            </w:tcBorders>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102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780" w:type="dxa"/>
            <w:vAlign w:val="bottom"/>
            <w:vMerge w:val="continue"/>
            <w:shd w:val="clear" w:color="auto" w:fill="FAF6EF"/>
          </w:tcPr>
          <w:p>
            <w:pPr>
              <w:spacing w:after="0"/>
              <w:rPr>
                <w:sz w:val="11"/>
                <w:szCs w:val="11"/>
                <w:color w:val="auto"/>
              </w:rPr>
            </w:pPr>
          </w:p>
        </w:tc>
        <w:tc>
          <w:tcPr>
            <w:tcW w:w="340" w:type="dxa"/>
            <w:vAlign w:val="bottom"/>
            <w:tcBorders>
              <w:right w:val="single" w:sz="8" w:color="7D7D7D"/>
            </w:tcBorders>
            <w:shd w:val="clear" w:color="auto" w:fill="FAF6EF"/>
          </w:tcPr>
          <w:p>
            <w:pPr>
              <w:spacing w:after="0"/>
              <w:rPr>
                <w:sz w:val="11"/>
                <w:szCs w:val="11"/>
                <w:color w:val="auto"/>
              </w:rPr>
            </w:pPr>
          </w:p>
        </w:tc>
        <w:tc>
          <w:tcPr>
            <w:tcW w:w="106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800" w:type="dxa"/>
            <w:vAlign w:val="bottom"/>
            <w:vMerge w:val="continue"/>
            <w:shd w:val="clear" w:color="auto" w:fill="FAF6EF"/>
          </w:tcPr>
          <w:p>
            <w:pPr>
              <w:spacing w:after="0"/>
              <w:rPr>
                <w:sz w:val="11"/>
                <w:szCs w:val="11"/>
                <w:color w:val="auto"/>
              </w:rPr>
            </w:pPr>
          </w:p>
        </w:tc>
        <w:tc>
          <w:tcPr>
            <w:tcW w:w="260" w:type="dxa"/>
            <w:vAlign w:val="bottom"/>
            <w:tcBorders>
              <w:right w:val="single" w:sz="8" w:color="7D7D7D"/>
            </w:tcBorders>
            <w:shd w:val="clear" w:color="auto" w:fill="FAF6EF"/>
          </w:tcPr>
          <w:p>
            <w:pPr>
              <w:spacing w:after="0"/>
              <w:rPr>
                <w:sz w:val="11"/>
                <w:szCs w:val="11"/>
                <w:color w:val="auto"/>
              </w:rPr>
            </w:pPr>
          </w:p>
        </w:tc>
        <w:tc>
          <w:tcPr>
            <w:tcW w:w="1160" w:type="dxa"/>
            <w:vAlign w:val="bottom"/>
            <w:tcBorders>
              <w:right w:val="single" w:sz="8" w:color="7D7D7D"/>
            </w:tcBorders>
            <w:vMerge w:val="continue"/>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140" w:type="dxa"/>
            <w:vAlign w:val="bottom"/>
            <w:tcBorders>
              <w:right w:val="single" w:sz="8" w:color="7D7D7D"/>
            </w:tcBorders>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540" w:type="dxa"/>
            <w:vAlign w:val="bottom"/>
            <w:tcBorders>
              <w:right w:val="single" w:sz="8" w:color="7D7D7D"/>
            </w:tcBorders>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660" w:type="dxa"/>
            <w:vAlign w:val="bottom"/>
            <w:tcBorders>
              <w:left w:val="single" w:sz="8" w:color="7D7D7D"/>
              <w:bottom w:val="single" w:sz="8" w:color="FAF6EF"/>
            </w:tcBorders>
            <w:shd w:val="clear" w:color="auto" w:fill="FAF6EF"/>
          </w:tcPr>
          <w:p>
            <w:pPr>
              <w:spacing w:after="0"/>
              <w:rPr>
                <w:sz w:val="23"/>
                <w:szCs w:val="23"/>
                <w:color w:val="auto"/>
              </w:rPr>
            </w:pPr>
          </w:p>
        </w:tc>
        <w:tc>
          <w:tcPr>
            <w:tcW w:w="120" w:type="dxa"/>
            <w:vAlign w:val="bottom"/>
            <w:tcBorders>
              <w:bottom w:val="single" w:sz="8" w:color="FAF6EF"/>
              <w:right w:val="single" w:sz="8" w:color="7D7D7D"/>
            </w:tcBorders>
            <w:shd w:val="clear" w:color="auto" w:fill="FAF6EF"/>
          </w:tcPr>
          <w:p>
            <w:pPr>
              <w:spacing w:after="0"/>
              <w:rPr>
                <w:sz w:val="23"/>
                <w:szCs w:val="23"/>
                <w:color w:val="auto"/>
              </w:rPr>
            </w:pPr>
          </w:p>
        </w:tc>
        <w:tc>
          <w:tcPr>
            <w:tcW w:w="1020" w:type="dxa"/>
            <w:vAlign w:val="bottom"/>
            <w:tcBorders>
              <w:bottom w:val="single" w:sz="8" w:color="FAF6EF"/>
            </w:tcBorders>
            <w:shd w:val="clear" w:color="auto" w:fill="FAF6EF"/>
          </w:tcPr>
          <w:p>
            <w:pPr>
              <w:spacing w:after="0"/>
              <w:rPr>
                <w:sz w:val="23"/>
                <w:szCs w:val="23"/>
                <w:color w:val="auto"/>
              </w:rPr>
            </w:pPr>
          </w:p>
        </w:tc>
        <w:tc>
          <w:tcPr>
            <w:tcW w:w="120" w:type="dxa"/>
            <w:vAlign w:val="bottom"/>
            <w:tcBorders>
              <w:bottom w:val="single" w:sz="8" w:color="FAF6EF"/>
              <w:right w:val="single" w:sz="8" w:color="7D7D7D"/>
            </w:tcBorders>
            <w:shd w:val="clear" w:color="auto" w:fill="FAF6EF"/>
          </w:tcPr>
          <w:p>
            <w:pPr>
              <w:spacing w:after="0"/>
              <w:rPr>
                <w:sz w:val="23"/>
                <w:szCs w:val="23"/>
                <w:color w:val="auto"/>
              </w:rPr>
            </w:pPr>
          </w:p>
        </w:tc>
        <w:tc>
          <w:tcPr>
            <w:tcW w:w="780" w:type="dxa"/>
            <w:vAlign w:val="bottom"/>
            <w:tcBorders>
              <w:bottom w:val="single" w:sz="8" w:color="FAF6EF"/>
            </w:tcBorders>
            <w:shd w:val="clear" w:color="auto" w:fill="FAF6EF"/>
          </w:tcPr>
          <w:p>
            <w:pPr>
              <w:jc w:val="center"/>
              <w:ind w:left="143"/>
              <w:spacing w:after="0"/>
              <w:rPr>
                <w:sz w:val="20"/>
                <w:szCs w:val="20"/>
                <w:color w:val="auto"/>
              </w:rPr>
            </w:pPr>
            <w:r>
              <w:rPr>
                <w:rFonts w:ascii="Arial" w:cs="Arial" w:eastAsia="Arial" w:hAnsi="Arial"/>
                <w:sz w:val="16"/>
                <w:szCs w:val="16"/>
                <w:color w:val="auto"/>
                <w:w w:val="96"/>
              </w:rPr>
              <w:t>450,000</w:t>
            </w:r>
          </w:p>
        </w:tc>
        <w:tc>
          <w:tcPr>
            <w:tcW w:w="340" w:type="dxa"/>
            <w:vAlign w:val="bottom"/>
            <w:tcBorders>
              <w:bottom w:val="single" w:sz="8" w:color="FAF6EF"/>
              <w:right w:val="single" w:sz="8" w:color="7D7D7D"/>
            </w:tcBorders>
            <w:shd w:val="clear" w:color="auto" w:fill="FAF6EF"/>
          </w:tcPr>
          <w:p>
            <w:pPr>
              <w:spacing w:after="0"/>
              <w:rPr>
                <w:sz w:val="23"/>
                <w:szCs w:val="23"/>
                <w:color w:val="auto"/>
              </w:rPr>
            </w:pPr>
          </w:p>
        </w:tc>
        <w:tc>
          <w:tcPr>
            <w:tcW w:w="106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96"/>
              </w:rPr>
              <w:t>810,000</w:t>
            </w:r>
          </w:p>
        </w:tc>
        <w:tc>
          <w:tcPr>
            <w:tcW w:w="120" w:type="dxa"/>
            <w:vAlign w:val="bottom"/>
            <w:tcBorders>
              <w:bottom w:val="single" w:sz="8" w:color="FAF6EF"/>
              <w:right w:val="single" w:sz="8" w:color="7D7D7D"/>
            </w:tcBorders>
            <w:shd w:val="clear" w:color="auto" w:fill="FAF6EF"/>
          </w:tcPr>
          <w:p>
            <w:pPr>
              <w:spacing w:after="0"/>
              <w:rPr>
                <w:sz w:val="23"/>
                <w:szCs w:val="23"/>
                <w:color w:val="auto"/>
              </w:rPr>
            </w:pPr>
          </w:p>
        </w:tc>
        <w:tc>
          <w:tcPr>
            <w:tcW w:w="800" w:type="dxa"/>
            <w:vAlign w:val="bottom"/>
            <w:tcBorders>
              <w:bottom w:val="single" w:sz="8" w:color="FAF6EF"/>
            </w:tcBorders>
            <w:shd w:val="clear" w:color="auto" w:fill="FAF6EF"/>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FAF6EF"/>
              <w:right w:val="single" w:sz="8" w:color="7D7D7D"/>
            </w:tcBorders>
            <w:shd w:val="clear" w:color="auto" w:fill="FAF6EF"/>
          </w:tcPr>
          <w:p>
            <w:pPr>
              <w:spacing w:after="0"/>
              <w:rPr>
                <w:sz w:val="23"/>
                <w:szCs w:val="23"/>
                <w:color w:val="auto"/>
              </w:rPr>
            </w:pPr>
          </w:p>
        </w:tc>
        <w:tc>
          <w:tcPr>
            <w:tcW w:w="1160" w:type="dxa"/>
            <w:vAlign w:val="bottom"/>
            <w:tcBorders>
              <w:bottom w:val="single" w:sz="8" w:color="FAF6EF"/>
              <w:right w:val="single" w:sz="8" w:color="7D7D7D"/>
            </w:tcBorders>
            <w:shd w:val="clear" w:color="auto" w:fill="FAF6EF"/>
          </w:tcPr>
          <w:p>
            <w:pPr>
              <w:jc w:val="center"/>
              <w:ind w:right="82"/>
              <w:spacing w:after="0"/>
              <w:rPr>
                <w:sz w:val="20"/>
                <w:szCs w:val="20"/>
                <w:color w:val="auto"/>
              </w:rPr>
            </w:pPr>
            <w:r>
              <w:rPr>
                <w:rFonts w:ascii="Arial" w:cs="Arial" w:eastAsia="Arial" w:hAnsi="Arial"/>
                <w:sz w:val="16"/>
                <w:szCs w:val="16"/>
                <w:color w:val="auto"/>
                <w:w w:val="99"/>
              </w:rPr>
              <w:t>—</w:t>
            </w:r>
          </w:p>
        </w:tc>
        <w:tc>
          <w:tcPr>
            <w:tcW w:w="1180" w:type="dxa"/>
            <w:vAlign w:val="bottom"/>
            <w:tcBorders>
              <w:bottom w:val="single" w:sz="8" w:color="FAF6EF"/>
              <w:right w:val="single" w:sz="8" w:color="7D7D7D"/>
            </w:tcBorders>
            <w:gridSpan w:val="2"/>
            <w:shd w:val="clear" w:color="auto" w:fill="FAF6EF"/>
          </w:tcPr>
          <w:p>
            <w:pPr>
              <w:jc w:val="center"/>
              <w:ind w:right="140"/>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FAF6EF"/>
            </w:tcBorders>
            <w:shd w:val="clear" w:color="auto" w:fill="FAF6EF"/>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bottom w:val="single" w:sz="8" w:color="FAF6EF"/>
              <w:right w:val="single" w:sz="8" w:color="7D7D7D"/>
            </w:tcBorders>
            <w:shd w:val="clear" w:color="auto" w:fill="FAF6EF"/>
          </w:tcPr>
          <w:p>
            <w:pPr>
              <w:spacing w:after="0"/>
              <w:rPr>
                <w:sz w:val="23"/>
                <w:szCs w:val="23"/>
                <w:color w:val="auto"/>
              </w:rPr>
            </w:pPr>
          </w:p>
        </w:tc>
        <w:tc>
          <w:tcPr>
            <w:tcW w:w="104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Borders>
              <w:bottom w:val="single" w:sz="8" w:color="7D7D7D"/>
            </w:tcBorders>
            <w:shd w:val="clear" w:color="auto" w:fill="7D7D7D"/>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1660" w:type="dxa"/>
            <w:vAlign w:val="bottom"/>
            <w:tcBorders>
              <w:left w:val="single" w:sz="8" w:color="7D7D7D"/>
            </w:tcBorders>
          </w:tcPr>
          <w:p>
            <w:pPr>
              <w:spacing w:after="0"/>
              <w:rPr>
                <w:sz w:val="11"/>
                <w:szCs w:val="11"/>
                <w:color w:val="auto"/>
              </w:rPr>
            </w:pPr>
          </w:p>
        </w:tc>
        <w:tc>
          <w:tcPr>
            <w:tcW w:w="120" w:type="dxa"/>
            <w:vAlign w:val="bottom"/>
            <w:tcBorders>
              <w:right w:val="single" w:sz="8" w:color="7D7D7D"/>
            </w:tcBorders>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9"/>
              </w:rPr>
              <w:t>3/8/2023</w:t>
            </w:r>
          </w:p>
        </w:tc>
        <w:tc>
          <w:tcPr>
            <w:tcW w:w="120" w:type="dxa"/>
            <w:vAlign w:val="bottom"/>
            <w:tcBorders>
              <w:right w:val="single" w:sz="8" w:color="7D7D7D"/>
            </w:tcBorders>
          </w:tcPr>
          <w:p>
            <w:pPr>
              <w:spacing w:after="0"/>
              <w:rPr>
                <w:sz w:val="11"/>
                <w:szCs w:val="11"/>
                <w:color w:val="auto"/>
              </w:rPr>
            </w:pPr>
          </w:p>
        </w:tc>
        <w:tc>
          <w:tcPr>
            <w:tcW w:w="780" w:type="dxa"/>
            <w:vAlign w:val="bottom"/>
            <w:vMerge w:val="restart"/>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tcPr>
          <w:p>
            <w:pPr>
              <w:spacing w:after="0"/>
              <w:rPr>
                <w:sz w:val="11"/>
                <w:szCs w:val="11"/>
                <w:color w:val="auto"/>
              </w:rPr>
            </w:pPr>
          </w:p>
        </w:tc>
        <w:tc>
          <w:tcPr>
            <w:tcW w:w="800" w:type="dxa"/>
            <w:vAlign w:val="bottom"/>
            <w:vMerge w:val="restart"/>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tcPr>
          <w:p>
            <w:pPr>
              <w:spacing w:after="0"/>
              <w:rPr>
                <w:sz w:val="11"/>
                <w:szCs w:val="11"/>
                <w:color w:val="auto"/>
              </w:rPr>
            </w:pPr>
          </w:p>
        </w:tc>
        <w:tc>
          <w:tcPr>
            <w:tcW w:w="1160" w:type="dxa"/>
            <w:vAlign w:val="bottom"/>
            <w:tcBorders>
              <w:right w:val="single" w:sz="8" w:color="7D7D7D"/>
            </w:tcBorders>
            <w:vMerge w:val="restart"/>
          </w:tcPr>
          <w:p>
            <w:pPr>
              <w:jc w:val="center"/>
              <w:ind w:right="82"/>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7D7D7D"/>
            </w:tcBorders>
            <w:gridSpan w:val="2"/>
            <w:vMerge w:val="restart"/>
          </w:tcPr>
          <w:p>
            <w:pPr>
              <w:jc w:val="center"/>
              <w:ind w:right="140"/>
              <w:spacing w:after="0"/>
              <w:rPr>
                <w:sz w:val="20"/>
                <w:szCs w:val="20"/>
                <w:color w:val="auto"/>
              </w:rPr>
            </w:pPr>
            <w:r>
              <w:rPr>
                <w:rFonts w:ascii="Arial" w:cs="Arial" w:eastAsia="Arial" w:hAnsi="Arial"/>
                <w:sz w:val="16"/>
                <w:szCs w:val="16"/>
                <w:color w:val="auto"/>
                <w:w w:val="99"/>
              </w:rPr>
              <w:t>—</w:t>
            </w:r>
          </w:p>
        </w:tc>
        <w:tc>
          <w:tcPr>
            <w:tcW w:w="1040" w:type="dxa"/>
            <w:vAlign w:val="bottom"/>
            <w:vMerge w:val="restart"/>
          </w:tcPr>
          <w:p>
            <w:pPr>
              <w:jc w:val="center"/>
              <w:ind w:right="104"/>
              <w:spacing w:after="0"/>
              <w:rPr>
                <w:sz w:val="20"/>
                <w:szCs w:val="20"/>
                <w:color w:val="auto"/>
              </w:rPr>
            </w:pPr>
            <w:r>
              <w:rPr>
                <w:rFonts w:ascii="Arial" w:cs="Arial" w:eastAsia="Arial" w:hAnsi="Arial"/>
                <w:sz w:val="16"/>
                <w:szCs w:val="16"/>
                <w:color w:val="auto"/>
                <w:w w:val="94"/>
              </w:rPr>
              <w:t>8,580</w:t>
            </w:r>
          </w:p>
        </w:tc>
        <w:tc>
          <w:tcPr>
            <w:tcW w:w="540" w:type="dxa"/>
            <w:vAlign w:val="bottom"/>
            <w:tcBorders>
              <w:right w:val="single" w:sz="8" w:color="7D7D7D"/>
            </w:tcBorders>
          </w:tcPr>
          <w:p>
            <w:pPr>
              <w:jc w:val="right"/>
              <w:ind w:right="309"/>
              <w:spacing w:after="0"/>
              <w:rPr>
                <w:sz w:val="20"/>
                <w:szCs w:val="20"/>
                <w:color w:val="auto"/>
              </w:rPr>
            </w:pPr>
            <w:r>
              <w:rPr>
                <w:rFonts w:ascii="Arial" w:cs="Arial" w:eastAsia="Arial" w:hAnsi="Arial"/>
                <w:sz w:val="10"/>
                <w:szCs w:val="10"/>
                <w:color w:val="auto"/>
              </w:rPr>
              <w:t>(4)</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8"/>
              </w:rPr>
              <w:t>1,873,100</w:t>
            </w: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60" w:type="dxa"/>
            <w:vAlign w:val="bottom"/>
            <w:tcBorders>
              <w:left w:val="single" w:sz="8" w:color="7D7D7D"/>
            </w:tcBorders>
          </w:tcPr>
          <w:p>
            <w:pPr>
              <w:spacing w:after="0"/>
              <w:rPr>
                <w:sz w:val="8"/>
                <w:szCs w:val="8"/>
                <w:color w:val="auto"/>
              </w:rPr>
            </w:pPr>
          </w:p>
        </w:tc>
        <w:tc>
          <w:tcPr>
            <w:tcW w:w="120" w:type="dxa"/>
            <w:vAlign w:val="bottom"/>
            <w:tcBorders>
              <w:right w:val="single" w:sz="8" w:color="7D7D7D"/>
            </w:tcBorders>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Borders>
              <w:right w:val="single" w:sz="8" w:color="7D7D7D"/>
            </w:tcBorders>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tcBorders>
              <w:right w:val="single" w:sz="8" w:color="7D7D7D"/>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20" w:type="dxa"/>
            <w:vAlign w:val="bottom"/>
            <w:tcBorders>
              <w:right w:val="single" w:sz="8" w:color="7D7D7D"/>
            </w:tcBorders>
          </w:tcPr>
          <w:p>
            <w:pPr>
              <w:spacing w:after="0"/>
              <w:rPr>
                <w:sz w:val="8"/>
                <w:szCs w:val="8"/>
                <w:color w:val="auto"/>
              </w:rPr>
            </w:pPr>
          </w:p>
        </w:tc>
        <w:tc>
          <w:tcPr>
            <w:tcW w:w="800" w:type="dxa"/>
            <w:vAlign w:val="bottom"/>
            <w:vMerge w:val="continue"/>
          </w:tcPr>
          <w:p>
            <w:pPr>
              <w:spacing w:after="0"/>
              <w:rPr>
                <w:sz w:val="8"/>
                <w:szCs w:val="8"/>
                <w:color w:val="auto"/>
              </w:rPr>
            </w:pPr>
          </w:p>
        </w:tc>
        <w:tc>
          <w:tcPr>
            <w:tcW w:w="260" w:type="dxa"/>
            <w:vAlign w:val="bottom"/>
            <w:tcBorders>
              <w:right w:val="single" w:sz="8" w:color="7D7D7D"/>
            </w:tcBorders>
          </w:tcPr>
          <w:p>
            <w:pPr>
              <w:spacing w:after="0"/>
              <w:rPr>
                <w:sz w:val="8"/>
                <w:szCs w:val="8"/>
                <w:color w:val="auto"/>
              </w:rPr>
            </w:pPr>
          </w:p>
        </w:tc>
        <w:tc>
          <w:tcPr>
            <w:tcW w:w="1160" w:type="dxa"/>
            <w:vAlign w:val="bottom"/>
            <w:tcBorders>
              <w:right w:val="single" w:sz="8" w:color="7D7D7D"/>
            </w:tcBorders>
            <w:vMerge w:val="continue"/>
          </w:tcPr>
          <w:p>
            <w:pPr>
              <w:spacing w:after="0"/>
              <w:rPr>
                <w:sz w:val="8"/>
                <w:szCs w:val="8"/>
                <w:color w:val="auto"/>
              </w:rPr>
            </w:pPr>
          </w:p>
        </w:tc>
        <w:tc>
          <w:tcPr>
            <w:tcW w:w="1180" w:type="dxa"/>
            <w:vAlign w:val="bottom"/>
            <w:tcBorders>
              <w:right w:val="single" w:sz="8" w:color="7D7D7D"/>
            </w:tcBorders>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540" w:type="dxa"/>
            <w:vAlign w:val="bottom"/>
            <w:tcBorders>
              <w:right w:val="single" w:sz="8" w:color="7D7D7D"/>
            </w:tcBorders>
            <w:vMerge w:val="restart"/>
          </w:tcPr>
          <w:p>
            <w:pPr>
              <w:jc w:val="right"/>
              <w:ind w:right="309"/>
              <w:spacing w:after="0"/>
              <w:rPr>
                <w:sz w:val="20"/>
                <w:szCs w:val="20"/>
                <w:color w:val="auto"/>
              </w:rPr>
            </w:pPr>
            <w:r>
              <w:rPr>
                <w:rFonts w:ascii="Arial" w:cs="Arial" w:eastAsia="Arial" w:hAnsi="Arial"/>
                <w:sz w:val="10"/>
                <w:szCs w:val="10"/>
                <w:color w:val="auto"/>
              </w:rPr>
              <w:t>(5)</w:t>
            </w:r>
          </w:p>
        </w:tc>
        <w:tc>
          <w:tcPr>
            <w:tcW w:w="1040" w:type="dxa"/>
            <w:vAlign w:val="bottom"/>
            <w:vMerge w:val="continue"/>
          </w:tcPr>
          <w:p>
            <w:pPr>
              <w:spacing w:after="0"/>
              <w:rPr>
                <w:sz w:val="8"/>
                <w:szCs w:val="8"/>
                <w:color w:val="auto"/>
              </w:rPr>
            </w:pPr>
          </w:p>
        </w:tc>
        <w:tc>
          <w:tcPr>
            <w:tcW w:w="20" w:type="dxa"/>
            <w:vAlign w:val="bottom"/>
            <w:shd w:val="clear" w:color="auto" w:fill="7D7D7D"/>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660" w:type="dxa"/>
            <w:vAlign w:val="bottom"/>
            <w:tcBorders>
              <w:left w:val="single" w:sz="8" w:color="7D7D7D"/>
            </w:tcBorders>
          </w:tcPr>
          <w:p>
            <w:pPr>
              <w:spacing w:after="0"/>
              <w:rPr>
                <w:sz w:val="10"/>
                <w:szCs w:val="10"/>
                <w:color w:val="auto"/>
              </w:rPr>
            </w:pPr>
          </w:p>
        </w:tc>
        <w:tc>
          <w:tcPr>
            <w:tcW w:w="120" w:type="dxa"/>
            <w:vAlign w:val="bottom"/>
            <w:tcBorders>
              <w:right w:val="single" w:sz="8" w:color="7D7D7D"/>
            </w:tcBorders>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9"/>
              </w:rPr>
              <w:t>3/8/2023</w:t>
            </w:r>
          </w:p>
        </w:tc>
        <w:tc>
          <w:tcPr>
            <w:tcW w:w="120" w:type="dxa"/>
            <w:vAlign w:val="bottom"/>
            <w:tcBorders>
              <w:right w:val="single" w:sz="8" w:color="7D7D7D"/>
            </w:tcBorders>
          </w:tcPr>
          <w:p>
            <w:pPr>
              <w:spacing w:after="0"/>
              <w:rPr>
                <w:sz w:val="10"/>
                <w:szCs w:val="10"/>
                <w:color w:val="auto"/>
              </w:rPr>
            </w:pPr>
          </w:p>
        </w:tc>
        <w:tc>
          <w:tcPr>
            <w:tcW w:w="780" w:type="dxa"/>
            <w:vAlign w:val="bottom"/>
            <w:vMerge w:val="restart"/>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tcPr>
          <w:p>
            <w:pPr>
              <w:spacing w:after="0"/>
              <w:rPr>
                <w:sz w:val="10"/>
                <w:szCs w:val="10"/>
                <w:color w:val="auto"/>
              </w:rPr>
            </w:pPr>
          </w:p>
        </w:tc>
        <w:tc>
          <w:tcPr>
            <w:tcW w:w="800" w:type="dxa"/>
            <w:vAlign w:val="bottom"/>
            <w:vMerge w:val="restart"/>
          </w:tcPr>
          <w:p>
            <w:pPr>
              <w:jc w:val="center"/>
              <w:ind w:left="42"/>
              <w:spacing w:after="0"/>
              <w:rPr>
                <w:sz w:val="20"/>
                <w:szCs w:val="20"/>
                <w:color w:val="auto"/>
              </w:rPr>
            </w:pPr>
            <w:r>
              <w:rPr>
                <w:rFonts w:ascii="Arial" w:cs="Arial" w:eastAsia="Arial" w:hAnsi="Arial"/>
                <w:sz w:val="16"/>
                <w:szCs w:val="16"/>
                <w:color w:val="auto"/>
                <w:w w:val="99"/>
              </w:rPr>
              <w:t>4,290</w:t>
            </w:r>
          </w:p>
        </w:tc>
        <w:tc>
          <w:tcPr>
            <w:tcW w:w="260" w:type="dxa"/>
            <w:vAlign w:val="bottom"/>
            <w:tcBorders>
              <w:right w:val="single" w:sz="8" w:color="7D7D7D"/>
            </w:tcBorders>
          </w:tcPr>
          <w:p>
            <w:pPr>
              <w:spacing w:after="0"/>
              <w:rPr>
                <w:sz w:val="10"/>
                <w:szCs w:val="10"/>
                <w:color w:val="auto"/>
              </w:rPr>
            </w:pPr>
          </w:p>
        </w:tc>
        <w:tc>
          <w:tcPr>
            <w:tcW w:w="1160" w:type="dxa"/>
            <w:vAlign w:val="bottom"/>
            <w:tcBorders>
              <w:right w:val="single" w:sz="8" w:color="7D7D7D"/>
            </w:tcBorders>
            <w:vMerge w:val="restart"/>
          </w:tcPr>
          <w:p>
            <w:pPr>
              <w:jc w:val="center"/>
              <w:ind w:right="62"/>
              <w:spacing w:after="0"/>
              <w:rPr>
                <w:sz w:val="20"/>
                <w:szCs w:val="20"/>
                <w:color w:val="auto"/>
              </w:rPr>
            </w:pPr>
            <w:r>
              <w:rPr>
                <w:rFonts w:ascii="Arial" w:cs="Arial" w:eastAsia="Arial" w:hAnsi="Arial"/>
                <w:sz w:val="16"/>
                <w:szCs w:val="16"/>
                <w:color w:val="auto"/>
                <w:w w:val="94"/>
              </w:rPr>
              <w:t>8,580</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8"/>
              </w:rPr>
              <w:t>12,870</w:t>
            </w:r>
          </w:p>
        </w:tc>
        <w:tc>
          <w:tcPr>
            <w:tcW w:w="140" w:type="dxa"/>
            <w:vAlign w:val="bottom"/>
            <w:tcBorders>
              <w:right w:val="single" w:sz="8" w:color="7D7D7D"/>
            </w:tcBorders>
          </w:tcPr>
          <w:p>
            <w:pPr>
              <w:spacing w:after="0"/>
              <w:rPr>
                <w:sz w:val="10"/>
                <w:szCs w:val="10"/>
                <w:color w:val="auto"/>
              </w:rPr>
            </w:pPr>
          </w:p>
        </w:tc>
        <w:tc>
          <w:tcPr>
            <w:tcW w:w="1040" w:type="dxa"/>
            <w:vAlign w:val="bottom"/>
            <w:vMerge w:val="restart"/>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right w:val="single" w:sz="8" w:color="7D7D7D"/>
            </w:tcBorders>
            <w:vMerge w:val="continue"/>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8"/>
              </w:rPr>
              <w:t>1,873,100</w:t>
            </w: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tcBorders>
              <w:left w:val="single" w:sz="8" w:color="7D7D7D"/>
            </w:tcBorders>
            <w:vMerge w:val="restart"/>
          </w:tcPr>
          <w:p>
            <w:pPr>
              <w:ind w:left="120"/>
              <w:spacing w:after="0"/>
              <w:rPr>
                <w:sz w:val="20"/>
                <w:szCs w:val="20"/>
                <w:color w:val="auto"/>
              </w:rPr>
            </w:pPr>
            <w:r>
              <w:rPr>
                <w:rFonts w:ascii="Arial" w:cs="Arial" w:eastAsia="Arial" w:hAnsi="Arial"/>
                <w:sz w:val="16"/>
                <w:szCs w:val="16"/>
                <w:b w:val="1"/>
                <w:bCs w:val="1"/>
                <w:color w:val="auto"/>
              </w:rPr>
              <w:t>Mandy Yang</w:t>
            </w:r>
          </w:p>
        </w:tc>
        <w:tc>
          <w:tcPr>
            <w:tcW w:w="120" w:type="dxa"/>
            <w:vAlign w:val="bottom"/>
            <w:tcBorders>
              <w:right w:val="single" w:sz="8" w:color="7D7D7D"/>
            </w:tcBorders>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Borders>
              <w:right w:val="single" w:sz="8" w:color="7D7D7D"/>
            </w:tcBorders>
          </w:tcPr>
          <w:p>
            <w:pPr>
              <w:spacing w:after="0"/>
              <w:rPr>
                <w:sz w:val="11"/>
                <w:szCs w:val="11"/>
                <w:color w:val="auto"/>
              </w:rPr>
            </w:pPr>
          </w:p>
        </w:tc>
        <w:tc>
          <w:tcPr>
            <w:tcW w:w="780" w:type="dxa"/>
            <w:vAlign w:val="bottom"/>
            <w:vMerge w:val="continue"/>
          </w:tcPr>
          <w:p>
            <w:pPr>
              <w:spacing w:after="0"/>
              <w:rPr>
                <w:sz w:val="11"/>
                <w:szCs w:val="11"/>
                <w:color w:val="auto"/>
              </w:rPr>
            </w:pPr>
          </w:p>
        </w:tc>
        <w:tc>
          <w:tcPr>
            <w:tcW w:w="340" w:type="dxa"/>
            <w:vAlign w:val="bottom"/>
            <w:tcBorders>
              <w:right w:val="single" w:sz="8" w:color="7D7D7D"/>
            </w:tcBorders>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Borders>
              <w:right w:val="single" w:sz="8" w:color="7D7D7D"/>
            </w:tcBorders>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Borders>
              <w:right w:val="single" w:sz="8" w:color="7D7D7D"/>
            </w:tcBorders>
          </w:tcPr>
          <w:p>
            <w:pPr>
              <w:spacing w:after="0"/>
              <w:rPr>
                <w:sz w:val="11"/>
                <w:szCs w:val="11"/>
                <w:color w:val="auto"/>
              </w:rPr>
            </w:pPr>
          </w:p>
        </w:tc>
        <w:tc>
          <w:tcPr>
            <w:tcW w:w="1160" w:type="dxa"/>
            <w:vAlign w:val="bottom"/>
            <w:tcBorders>
              <w:right w:val="single" w:sz="8" w:color="7D7D7D"/>
            </w:tcBorders>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Borders>
              <w:right w:val="single" w:sz="8" w:color="7D7D7D"/>
            </w:tcBorders>
          </w:tcPr>
          <w:p>
            <w:pPr>
              <w:spacing w:after="0"/>
              <w:rPr>
                <w:sz w:val="11"/>
                <w:szCs w:val="11"/>
                <w:color w:val="auto"/>
              </w:rPr>
            </w:pPr>
          </w:p>
        </w:tc>
        <w:tc>
          <w:tcPr>
            <w:tcW w:w="1040" w:type="dxa"/>
            <w:vAlign w:val="bottom"/>
            <w:vMerge w:val="continue"/>
          </w:tcPr>
          <w:p>
            <w:pPr>
              <w:spacing w:after="0"/>
              <w:rPr>
                <w:sz w:val="11"/>
                <w:szCs w:val="11"/>
                <w:color w:val="auto"/>
              </w:rPr>
            </w:pPr>
          </w:p>
        </w:tc>
        <w:tc>
          <w:tcPr>
            <w:tcW w:w="540" w:type="dxa"/>
            <w:vAlign w:val="bottom"/>
            <w:tcBorders>
              <w:right w:val="single" w:sz="8" w:color="7D7D7D"/>
            </w:tcBorders>
            <w:vMerge w:val="restart"/>
          </w:tcPr>
          <w:p>
            <w:pPr>
              <w:jc w:val="right"/>
              <w:ind w:right="309"/>
              <w:spacing w:after="0"/>
              <w:rPr>
                <w:sz w:val="20"/>
                <w:szCs w:val="20"/>
                <w:color w:val="auto"/>
              </w:rPr>
            </w:pPr>
            <w:r>
              <w:rPr>
                <w:rFonts w:ascii="Arial" w:cs="Arial" w:eastAsia="Arial" w:hAnsi="Arial"/>
                <w:sz w:val="10"/>
                <w:szCs w:val="10"/>
                <w:color w:val="auto"/>
              </w:rPr>
              <w:t>(6)</w:t>
            </w:r>
          </w:p>
        </w:tc>
        <w:tc>
          <w:tcPr>
            <w:tcW w:w="1040" w:type="dxa"/>
            <w:vAlign w:val="bottom"/>
            <w:vMerge w:val="continue"/>
          </w:tcPr>
          <w:p>
            <w:pPr>
              <w:spacing w:after="0"/>
              <w:rPr>
                <w:sz w:val="11"/>
                <w:szCs w:val="11"/>
                <w:color w:val="auto"/>
              </w:rPr>
            </w:pP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60" w:type="dxa"/>
            <w:vAlign w:val="bottom"/>
            <w:tcBorders>
              <w:left w:val="single" w:sz="8" w:color="7D7D7D"/>
            </w:tcBorders>
            <w:vMerge w:val="continue"/>
          </w:tcPr>
          <w:p>
            <w:pPr>
              <w:spacing w:after="0"/>
              <w:rPr>
                <w:sz w:val="12"/>
                <w:szCs w:val="12"/>
                <w:color w:val="auto"/>
              </w:rPr>
            </w:pPr>
          </w:p>
        </w:tc>
        <w:tc>
          <w:tcPr>
            <w:tcW w:w="120" w:type="dxa"/>
            <w:vAlign w:val="bottom"/>
            <w:tcBorders>
              <w:right w:val="single" w:sz="8" w:color="7D7D7D"/>
            </w:tcBorders>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9"/>
              </w:rPr>
              <w:t>3/8/2023</w:t>
            </w:r>
          </w:p>
        </w:tc>
        <w:tc>
          <w:tcPr>
            <w:tcW w:w="120" w:type="dxa"/>
            <w:vAlign w:val="bottom"/>
            <w:tcBorders>
              <w:right w:val="single" w:sz="8" w:color="7D7D7D"/>
            </w:tcBorders>
          </w:tcPr>
          <w:p>
            <w:pPr>
              <w:spacing w:after="0"/>
              <w:rPr>
                <w:sz w:val="12"/>
                <w:szCs w:val="12"/>
                <w:color w:val="auto"/>
              </w:rPr>
            </w:pPr>
          </w:p>
        </w:tc>
        <w:tc>
          <w:tcPr>
            <w:tcW w:w="780" w:type="dxa"/>
            <w:vAlign w:val="bottom"/>
            <w:vMerge w:val="restart"/>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tcPr>
          <w:p>
            <w:pPr>
              <w:spacing w:after="0"/>
              <w:rPr>
                <w:sz w:val="12"/>
                <w:szCs w:val="12"/>
                <w:color w:val="auto"/>
              </w:rPr>
            </w:pPr>
          </w:p>
        </w:tc>
        <w:tc>
          <w:tcPr>
            <w:tcW w:w="800" w:type="dxa"/>
            <w:vAlign w:val="bottom"/>
            <w:vMerge w:val="restart"/>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tcPr>
          <w:p>
            <w:pPr>
              <w:spacing w:after="0"/>
              <w:rPr>
                <w:sz w:val="12"/>
                <w:szCs w:val="12"/>
                <w:color w:val="auto"/>
              </w:rPr>
            </w:pPr>
          </w:p>
        </w:tc>
        <w:tc>
          <w:tcPr>
            <w:tcW w:w="1160" w:type="dxa"/>
            <w:vAlign w:val="bottom"/>
            <w:tcBorders>
              <w:right w:val="single" w:sz="8" w:color="7D7D7D"/>
            </w:tcBorders>
            <w:vMerge w:val="restart"/>
          </w:tcPr>
          <w:p>
            <w:pPr>
              <w:jc w:val="center"/>
              <w:ind w:right="62"/>
              <w:spacing w:after="0"/>
              <w:rPr>
                <w:sz w:val="20"/>
                <w:szCs w:val="20"/>
                <w:color w:val="auto"/>
              </w:rPr>
            </w:pPr>
            <w:r>
              <w:rPr>
                <w:rFonts w:ascii="Arial" w:cs="Arial" w:eastAsia="Arial" w:hAnsi="Arial"/>
                <w:sz w:val="16"/>
                <w:szCs w:val="16"/>
                <w:color w:val="auto"/>
                <w:w w:val="94"/>
              </w:rPr>
              <w:t>8,840</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8"/>
              </w:rPr>
              <w:t>17,680</w:t>
            </w:r>
          </w:p>
        </w:tc>
        <w:tc>
          <w:tcPr>
            <w:tcW w:w="140" w:type="dxa"/>
            <w:vAlign w:val="bottom"/>
            <w:tcBorders>
              <w:right w:val="single" w:sz="8" w:color="7D7D7D"/>
            </w:tcBorders>
          </w:tcPr>
          <w:p>
            <w:pPr>
              <w:spacing w:after="0"/>
              <w:rPr>
                <w:sz w:val="12"/>
                <w:szCs w:val="12"/>
                <w:color w:val="auto"/>
              </w:rPr>
            </w:pPr>
          </w:p>
        </w:tc>
        <w:tc>
          <w:tcPr>
            <w:tcW w:w="1040" w:type="dxa"/>
            <w:vAlign w:val="bottom"/>
            <w:vMerge w:val="restart"/>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right w:val="single" w:sz="8" w:color="7D7D7D"/>
            </w:tcBorders>
            <w:vMerge w:val="continue"/>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8"/>
              </w:rPr>
              <w:t>2,365,319</w:t>
            </w:r>
          </w:p>
        </w:tc>
        <w:tc>
          <w:tcPr>
            <w:tcW w:w="20" w:type="dxa"/>
            <w:vAlign w:val="bottom"/>
            <w:shd w:val="clear" w:color="auto" w:fill="7D7D7D"/>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7D7D7D"/>
            </w:tcBorders>
          </w:tcPr>
          <w:p>
            <w:pPr>
              <w:spacing w:after="0"/>
              <w:rPr>
                <w:sz w:val="10"/>
                <w:szCs w:val="10"/>
                <w:color w:val="auto"/>
              </w:rPr>
            </w:pPr>
          </w:p>
        </w:tc>
        <w:tc>
          <w:tcPr>
            <w:tcW w:w="120" w:type="dxa"/>
            <w:vAlign w:val="bottom"/>
            <w:tcBorders>
              <w:right w:val="single" w:sz="8" w:color="7D7D7D"/>
            </w:tcBorders>
          </w:tcPr>
          <w:p>
            <w:pPr>
              <w:spacing w:after="0"/>
              <w:rPr>
                <w:sz w:val="10"/>
                <w:szCs w:val="10"/>
                <w:color w:val="auto"/>
              </w:rPr>
            </w:pPr>
          </w:p>
        </w:tc>
        <w:tc>
          <w:tcPr>
            <w:tcW w:w="1020" w:type="dxa"/>
            <w:vAlign w:val="bottom"/>
            <w:vMerge w:val="continue"/>
          </w:tcPr>
          <w:p>
            <w:pPr>
              <w:spacing w:after="0"/>
              <w:rPr>
                <w:sz w:val="10"/>
                <w:szCs w:val="10"/>
                <w:color w:val="auto"/>
              </w:rPr>
            </w:pPr>
          </w:p>
        </w:tc>
        <w:tc>
          <w:tcPr>
            <w:tcW w:w="120" w:type="dxa"/>
            <w:vAlign w:val="bottom"/>
            <w:tcBorders>
              <w:right w:val="single" w:sz="8" w:color="7D7D7D"/>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340" w:type="dxa"/>
            <w:vAlign w:val="bottom"/>
            <w:tcBorders>
              <w:right w:val="single" w:sz="8" w:color="7D7D7D"/>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Borders>
              <w:right w:val="single" w:sz="8" w:color="7D7D7D"/>
            </w:tcBorders>
          </w:tcPr>
          <w:p>
            <w:pPr>
              <w:spacing w:after="0"/>
              <w:rPr>
                <w:sz w:val="10"/>
                <w:szCs w:val="10"/>
                <w:color w:val="auto"/>
              </w:rPr>
            </w:pPr>
          </w:p>
        </w:tc>
        <w:tc>
          <w:tcPr>
            <w:tcW w:w="800" w:type="dxa"/>
            <w:vAlign w:val="bottom"/>
            <w:vMerge w:val="continue"/>
          </w:tcPr>
          <w:p>
            <w:pPr>
              <w:spacing w:after="0"/>
              <w:rPr>
                <w:sz w:val="10"/>
                <w:szCs w:val="10"/>
                <w:color w:val="auto"/>
              </w:rPr>
            </w:pPr>
          </w:p>
        </w:tc>
        <w:tc>
          <w:tcPr>
            <w:tcW w:w="260" w:type="dxa"/>
            <w:vAlign w:val="bottom"/>
            <w:tcBorders>
              <w:right w:val="single" w:sz="8" w:color="7D7D7D"/>
            </w:tcBorders>
          </w:tcPr>
          <w:p>
            <w:pPr>
              <w:spacing w:after="0"/>
              <w:rPr>
                <w:sz w:val="10"/>
                <w:szCs w:val="10"/>
                <w:color w:val="auto"/>
              </w:rPr>
            </w:pPr>
          </w:p>
        </w:tc>
        <w:tc>
          <w:tcPr>
            <w:tcW w:w="1160" w:type="dxa"/>
            <w:vAlign w:val="bottom"/>
            <w:tcBorders>
              <w:right w:val="single" w:sz="8" w:color="7D7D7D"/>
            </w:tcBorders>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0" w:type="dxa"/>
            <w:vAlign w:val="bottom"/>
            <w:tcBorders>
              <w:right w:val="single" w:sz="8" w:color="7D7D7D"/>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tcBorders>
              <w:right w:val="single" w:sz="8" w:color="7D7D7D"/>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1660" w:type="dxa"/>
            <w:vAlign w:val="bottom"/>
            <w:tcBorders>
              <w:left w:val="single" w:sz="8" w:color="7D7D7D"/>
            </w:tcBorders>
          </w:tcPr>
          <w:p>
            <w:pPr>
              <w:spacing w:after="0"/>
              <w:rPr>
                <w:sz w:val="22"/>
                <w:szCs w:val="22"/>
                <w:color w:val="auto"/>
              </w:rPr>
            </w:pPr>
          </w:p>
        </w:tc>
        <w:tc>
          <w:tcPr>
            <w:tcW w:w="120" w:type="dxa"/>
            <w:vAlign w:val="bottom"/>
            <w:tcBorders>
              <w:right w:val="single" w:sz="8" w:color="7D7D7D"/>
            </w:tcBorders>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Borders>
              <w:right w:val="single" w:sz="8" w:color="7D7D7D"/>
            </w:tcBorders>
          </w:tcPr>
          <w:p>
            <w:pPr>
              <w:spacing w:after="0"/>
              <w:rPr>
                <w:sz w:val="22"/>
                <w:szCs w:val="22"/>
                <w:color w:val="auto"/>
              </w:rPr>
            </w:pPr>
          </w:p>
        </w:tc>
        <w:tc>
          <w:tcPr>
            <w:tcW w:w="780" w:type="dxa"/>
            <w:vAlign w:val="bottom"/>
          </w:tcPr>
          <w:p>
            <w:pPr>
              <w:jc w:val="center"/>
              <w:ind w:left="143"/>
              <w:spacing w:after="0"/>
              <w:rPr>
                <w:sz w:val="20"/>
                <w:szCs w:val="20"/>
                <w:color w:val="auto"/>
              </w:rPr>
            </w:pPr>
            <w:r>
              <w:rPr>
                <w:rFonts w:ascii="Arial" w:cs="Arial" w:eastAsia="Arial" w:hAnsi="Arial"/>
                <w:sz w:val="16"/>
                <w:szCs w:val="16"/>
                <w:color w:val="auto"/>
                <w:w w:val="96"/>
              </w:rPr>
              <w:t>275,625</w:t>
            </w:r>
          </w:p>
        </w:tc>
        <w:tc>
          <w:tcPr>
            <w:tcW w:w="340" w:type="dxa"/>
            <w:vAlign w:val="bottom"/>
            <w:tcBorders>
              <w:right w:val="single" w:sz="8" w:color="7D7D7D"/>
            </w:tcBorders>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6"/>
              </w:rPr>
              <w:t>496,125</w:t>
            </w:r>
          </w:p>
        </w:tc>
        <w:tc>
          <w:tcPr>
            <w:tcW w:w="120" w:type="dxa"/>
            <w:vAlign w:val="bottom"/>
            <w:tcBorders>
              <w:right w:val="single" w:sz="8" w:color="7D7D7D"/>
            </w:tcBorders>
          </w:tcPr>
          <w:p>
            <w:pPr>
              <w:spacing w:after="0"/>
              <w:rPr>
                <w:sz w:val="22"/>
                <w:szCs w:val="22"/>
                <w:color w:val="auto"/>
              </w:rPr>
            </w:pPr>
          </w:p>
        </w:tc>
        <w:tc>
          <w:tcPr>
            <w:tcW w:w="800" w:type="dxa"/>
            <w:vAlign w:val="bottom"/>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tcPr>
          <w:p>
            <w:pPr>
              <w:spacing w:after="0"/>
              <w:rPr>
                <w:sz w:val="22"/>
                <w:szCs w:val="22"/>
                <w:color w:val="auto"/>
              </w:rPr>
            </w:pPr>
          </w:p>
        </w:tc>
        <w:tc>
          <w:tcPr>
            <w:tcW w:w="1160" w:type="dxa"/>
            <w:vAlign w:val="bottom"/>
            <w:tcBorders>
              <w:right w:val="single" w:sz="8" w:color="7D7D7D"/>
            </w:tcBorders>
          </w:tcPr>
          <w:p>
            <w:pPr>
              <w:jc w:val="center"/>
              <w:ind w:right="82"/>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7D7D7D"/>
            </w:tcBorders>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right w:val="single" w:sz="8" w:color="7D7D7D"/>
            </w:tcBorders>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1660" w:type="dxa"/>
            <w:vAlign w:val="bottom"/>
            <w:tcBorders>
              <w:left w:val="single" w:sz="8" w:color="7D7D7D"/>
            </w:tcBorders>
          </w:tcPr>
          <w:p>
            <w:pPr>
              <w:spacing w:after="0"/>
              <w:rPr>
                <w:sz w:val="2"/>
                <w:szCs w:val="2"/>
                <w:color w:val="auto"/>
              </w:rPr>
            </w:pPr>
          </w:p>
        </w:tc>
        <w:tc>
          <w:tcPr>
            <w:tcW w:w="120" w:type="dxa"/>
            <w:vAlign w:val="bottom"/>
            <w:tcBorders>
              <w:right w:val="single" w:sz="8" w:color="7D7D7D"/>
            </w:tcBorders>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7D7D7D"/>
            </w:tcBorders>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Borders>
              <w:right w:val="single" w:sz="8" w:color="7D7D7D"/>
            </w:tcBorders>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7D7D7D"/>
            </w:tcBorders>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Borders>
              <w:right w:val="single" w:sz="8" w:color="7D7D7D"/>
            </w:tcBorders>
          </w:tcPr>
          <w:p>
            <w:pPr>
              <w:spacing w:after="0"/>
              <w:rPr>
                <w:sz w:val="2"/>
                <w:szCs w:val="2"/>
                <w:color w:val="auto"/>
              </w:rPr>
            </w:pPr>
          </w:p>
        </w:tc>
        <w:tc>
          <w:tcPr>
            <w:tcW w:w="1160" w:type="dxa"/>
            <w:vAlign w:val="bottom"/>
            <w:tcBorders>
              <w:right w:val="single" w:sz="8" w:color="7D7D7D"/>
            </w:tcBorders>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7D7D7D"/>
            </w:tcBorders>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Borders>
              <w:right w:val="single" w:sz="8" w:color="7D7D7D"/>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7D7D7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1660" w:type="dxa"/>
            <w:vAlign w:val="bottom"/>
            <w:tcBorders>
              <w:left w:val="single" w:sz="8" w:color="7D7D7D"/>
            </w:tcBorders>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10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3/8/2023</w:t>
            </w:r>
          </w:p>
        </w:tc>
        <w:tc>
          <w:tcPr>
            <w:tcW w:w="120" w:type="dxa"/>
            <w:vAlign w:val="bottom"/>
            <w:tcBorders>
              <w:right w:val="single" w:sz="8" w:color="7D7D7D"/>
            </w:tcBorders>
            <w:shd w:val="clear" w:color="auto" w:fill="FAF6EF"/>
          </w:tcPr>
          <w:p>
            <w:pPr>
              <w:spacing w:after="0"/>
              <w:rPr>
                <w:sz w:val="11"/>
                <w:szCs w:val="11"/>
                <w:color w:val="auto"/>
              </w:rPr>
            </w:pPr>
          </w:p>
        </w:tc>
        <w:tc>
          <w:tcPr>
            <w:tcW w:w="780" w:type="dxa"/>
            <w:vAlign w:val="bottom"/>
            <w:vMerge w:val="restart"/>
            <w:shd w:val="clear" w:color="auto" w:fill="FAF6EF"/>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shd w:val="clear" w:color="auto" w:fill="FAF6EF"/>
          </w:tcPr>
          <w:p>
            <w:pPr>
              <w:spacing w:after="0"/>
              <w:rPr>
                <w:sz w:val="11"/>
                <w:szCs w:val="11"/>
                <w:color w:val="auto"/>
              </w:rPr>
            </w:pP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shd w:val="clear" w:color="auto" w:fill="FAF6EF"/>
          </w:tcPr>
          <w:p>
            <w:pPr>
              <w:spacing w:after="0"/>
              <w:rPr>
                <w:sz w:val="11"/>
                <w:szCs w:val="11"/>
                <w:color w:val="auto"/>
              </w:rPr>
            </w:pPr>
          </w:p>
        </w:tc>
        <w:tc>
          <w:tcPr>
            <w:tcW w:w="800" w:type="dxa"/>
            <w:vAlign w:val="bottom"/>
            <w:vMerge w:val="restart"/>
            <w:shd w:val="clear" w:color="auto" w:fill="FAF6EF"/>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shd w:val="clear" w:color="auto" w:fill="FAF6EF"/>
          </w:tcPr>
          <w:p>
            <w:pPr>
              <w:spacing w:after="0"/>
              <w:rPr>
                <w:sz w:val="11"/>
                <w:szCs w:val="11"/>
                <w:color w:val="auto"/>
              </w:rPr>
            </w:pPr>
          </w:p>
        </w:tc>
        <w:tc>
          <w:tcPr>
            <w:tcW w:w="1160" w:type="dxa"/>
            <w:vAlign w:val="bottom"/>
            <w:tcBorders>
              <w:right w:val="single" w:sz="8" w:color="7D7D7D"/>
            </w:tcBorders>
            <w:vMerge w:val="restart"/>
            <w:shd w:val="clear" w:color="auto" w:fill="FAF6EF"/>
          </w:tcPr>
          <w:p>
            <w:pPr>
              <w:jc w:val="center"/>
              <w:ind w:right="82"/>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7D7D7D"/>
            </w:tcBorders>
            <w:gridSpan w:val="2"/>
            <w:vMerge w:val="restart"/>
            <w:shd w:val="clear" w:color="auto" w:fill="FAF6EF"/>
          </w:tcPr>
          <w:p>
            <w:pPr>
              <w:jc w:val="center"/>
              <w:ind w:right="140"/>
              <w:spacing w:after="0"/>
              <w:rPr>
                <w:sz w:val="20"/>
                <w:szCs w:val="20"/>
                <w:color w:val="auto"/>
              </w:rPr>
            </w:pPr>
            <w:r>
              <w:rPr>
                <w:rFonts w:ascii="Arial" w:cs="Arial" w:eastAsia="Arial" w:hAnsi="Arial"/>
                <w:sz w:val="16"/>
                <w:szCs w:val="16"/>
                <w:color w:val="auto"/>
                <w:w w:val="99"/>
              </w:rPr>
              <w:t>—</w:t>
            </w:r>
          </w:p>
        </w:tc>
        <w:tc>
          <w:tcPr>
            <w:tcW w:w="1040" w:type="dxa"/>
            <w:vAlign w:val="bottom"/>
            <w:vMerge w:val="restart"/>
            <w:shd w:val="clear" w:color="auto" w:fill="FAF6EF"/>
          </w:tcPr>
          <w:p>
            <w:pPr>
              <w:jc w:val="center"/>
              <w:ind w:right="104"/>
              <w:spacing w:after="0"/>
              <w:rPr>
                <w:sz w:val="20"/>
                <w:szCs w:val="20"/>
                <w:color w:val="auto"/>
              </w:rPr>
            </w:pPr>
            <w:r>
              <w:rPr>
                <w:rFonts w:ascii="Arial" w:cs="Arial" w:eastAsia="Arial" w:hAnsi="Arial"/>
                <w:sz w:val="16"/>
                <w:szCs w:val="16"/>
                <w:color w:val="auto"/>
                <w:w w:val="94"/>
              </w:rPr>
              <w:t>4,950</w:t>
            </w:r>
          </w:p>
        </w:tc>
        <w:tc>
          <w:tcPr>
            <w:tcW w:w="540" w:type="dxa"/>
            <w:vAlign w:val="bottom"/>
            <w:tcBorders>
              <w:right w:val="single" w:sz="8" w:color="7D7D7D"/>
            </w:tcBorders>
            <w:shd w:val="clear" w:color="auto" w:fill="FAF6EF"/>
          </w:tcPr>
          <w:p>
            <w:pPr>
              <w:jc w:val="right"/>
              <w:ind w:right="309"/>
              <w:spacing w:after="0"/>
              <w:rPr>
                <w:sz w:val="20"/>
                <w:szCs w:val="20"/>
                <w:color w:val="auto"/>
              </w:rPr>
            </w:pPr>
            <w:r>
              <w:rPr>
                <w:rFonts w:ascii="Arial" w:cs="Arial" w:eastAsia="Arial" w:hAnsi="Arial"/>
                <w:sz w:val="10"/>
                <w:szCs w:val="10"/>
                <w:color w:val="auto"/>
              </w:rPr>
              <w:t>(4)</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1,080,635</w:t>
            </w: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60" w:type="dxa"/>
            <w:vAlign w:val="bottom"/>
            <w:tcBorders>
              <w:left w:val="single" w:sz="8" w:color="7D7D7D"/>
            </w:tcBorders>
            <w:shd w:val="clear" w:color="auto" w:fill="FAF6EF"/>
          </w:tcPr>
          <w:p>
            <w:pPr>
              <w:spacing w:after="0"/>
              <w:rPr>
                <w:sz w:val="8"/>
                <w:szCs w:val="8"/>
                <w:color w:val="auto"/>
              </w:rPr>
            </w:pPr>
          </w:p>
        </w:tc>
        <w:tc>
          <w:tcPr>
            <w:tcW w:w="120" w:type="dxa"/>
            <w:vAlign w:val="bottom"/>
            <w:tcBorders>
              <w:right w:val="single" w:sz="8" w:color="7D7D7D"/>
            </w:tcBorders>
            <w:shd w:val="clear" w:color="auto" w:fill="FAF6EF"/>
          </w:tcPr>
          <w:p>
            <w:pPr>
              <w:spacing w:after="0"/>
              <w:rPr>
                <w:sz w:val="8"/>
                <w:szCs w:val="8"/>
                <w:color w:val="auto"/>
              </w:rPr>
            </w:pPr>
          </w:p>
        </w:tc>
        <w:tc>
          <w:tcPr>
            <w:tcW w:w="1020" w:type="dxa"/>
            <w:vAlign w:val="bottom"/>
            <w:vMerge w:val="continue"/>
            <w:shd w:val="clear" w:color="auto" w:fill="FAF6EF"/>
          </w:tcPr>
          <w:p>
            <w:pPr>
              <w:spacing w:after="0"/>
              <w:rPr>
                <w:sz w:val="8"/>
                <w:szCs w:val="8"/>
                <w:color w:val="auto"/>
              </w:rPr>
            </w:pPr>
          </w:p>
        </w:tc>
        <w:tc>
          <w:tcPr>
            <w:tcW w:w="120" w:type="dxa"/>
            <w:vAlign w:val="bottom"/>
            <w:tcBorders>
              <w:right w:val="single" w:sz="8" w:color="7D7D7D"/>
            </w:tcBorders>
            <w:shd w:val="clear" w:color="auto" w:fill="FAF6EF"/>
          </w:tcPr>
          <w:p>
            <w:pPr>
              <w:spacing w:after="0"/>
              <w:rPr>
                <w:sz w:val="8"/>
                <w:szCs w:val="8"/>
                <w:color w:val="auto"/>
              </w:rPr>
            </w:pPr>
          </w:p>
        </w:tc>
        <w:tc>
          <w:tcPr>
            <w:tcW w:w="780" w:type="dxa"/>
            <w:vAlign w:val="bottom"/>
            <w:vMerge w:val="continue"/>
            <w:shd w:val="clear" w:color="auto" w:fill="FAF6EF"/>
          </w:tcPr>
          <w:p>
            <w:pPr>
              <w:spacing w:after="0"/>
              <w:rPr>
                <w:sz w:val="8"/>
                <w:szCs w:val="8"/>
                <w:color w:val="auto"/>
              </w:rPr>
            </w:pPr>
          </w:p>
        </w:tc>
        <w:tc>
          <w:tcPr>
            <w:tcW w:w="340" w:type="dxa"/>
            <w:vAlign w:val="bottom"/>
            <w:tcBorders>
              <w:right w:val="single" w:sz="8" w:color="7D7D7D"/>
            </w:tcBorders>
            <w:shd w:val="clear" w:color="auto" w:fill="FAF6EF"/>
          </w:tcPr>
          <w:p>
            <w:pPr>
              <w:spacing w:after="0"/>
              <w:rPr>
                <w:sz w:val="8"/>
                <w:szCs w:val="8"/>
                <w:color w:val="auto"/>
              </w:rPr>
            </w:pPr>
          </w:p>
        </w:tc>
        <w:tc>
          <w:tcPr>
            <w:tcW w:w="1060" w:type="dxa"/>
            <w:vAlign w:val="bottom"/>
            <w:vMerge w:val="continue"/>
            <w:shd w:val="clear" w:color="auto" w:fill="FAF6EF"/>
          </w:tcPr>
          <w:p>
            <w:pPr>
              <w:spacing w:after="0"/>
              <w:rPr>
                <w:sz w:val="8"/>
                <w:szCs w:val="8"/>
                <w:color w:val="auto"/>
              </w:rPr>
            </w:pPr>
          </w:p>
        </w:tc>
        <w:tc>
          <w:tcPr>
            <w:tcW w:w="120" w:type="dxa"/>
            <w:vAlign w:val="bottom"/>
            <w:tcBorders>
              <w:right w:val="single" w:sz="8" w:color="7D7D7D"/>
            </w:tcBorders>
            <w:shd w:val="clear" w:color="auto" w:fill="FAF6EF"/>
          </w:tcPr>
          <w:p>
            <w:pPr>
              <w:spacing w:after="0"/>
              <w:rPr>
                <w:sz w:val="8"/>
                <w:szCs w:val="8"/>
                <w:color w:val="auto"/>
              </w:rPr>
            </w:pPr>
          </w:p>
        </w:tc>
        <w:tc>
          <w:tcPr>
            <w:tcW w:w="800" w:type="dxa"/>
            <w:vAlign w:val="bottom"/>
            <w:vMerge w:val="continue"/>
            <w:shd w:val="clear" w:color="auto" w:fill="FAF6EF"/>
          </w:tcPr>
          <w:p>
            <w:pPr>
              <w:spacing w:after="0"/>
              <w:rPr>
                <w:sz w:val="8"/>
                <w:szCs w:val="8"/>
                <w:color w:val="auto"/>
              </w:rPr>
            </w:pPr>
          </w:p>
        </w:tc>
        <w:tc>
          <w:tcPr>
            <w:tcW w:w="260" w:type="dxa"/>
            <w:vAlign w:val="bottom"/>
            <w:tcBorders>
              <w:right w:val="single" w:sz="8" w:color="7D7D7D"/>
            </w:tcBorders>
            <w:shd w:val="clear" w:color="auto" w:fill="FAF6EF"/>
          </w:tcPr>
          <w:p>
            <w:pPr>
              <w:spacing w:after="0"/>
              <w:rPr>
                <w:sz w:val="8"/>
                <w:szCs w:val="8"/>
                <w:color w:val="auto"/>
              </w:rPr>
            </w:pPr>
          </w:p>
        </w:tc>
        <w:tc>
          <w:tcPr>
            <w:tcW w:w="1160" w:type="dxa"/>
            <w:vAlign w:val="bottom"/>
            <w:tcBorders>
              <w:right w:val="single" w:sz="8" w:color="7D7D7D"/>
            </w:tcBorders>
            <w:vMerge w:val="continue"/>
            <w:shd w:val="clear" w:color="auto" w:fill="FAF6EF"/>
          </w:tcPr>
          <w:p>
            <w:pPr>
              <w:spacing w:after="0"/>
              <w:rPr>
                <w:sz w:val="8"/>
                <w:szCs w:val="8"/>
                <w:color w:val="auto"/>
              </w:rPr>
            </w:pPr>
          </w:p>
        </w:tc>
        <w:tc>
          <w:tcPr>
            <w:tcW w:w="1180" w:type="dxa"/>
            <w:vAlign w:val="bottom"/>
            <w:tcBorders>
              <w:right w:val="single" w:sz="8" w:color="7D7D7D"/>
            </w:tcBorders>
            <w:gridSpan w:val="2"/>
            <w:vMerge w:val="continue"/>
            <w:shd w:val="clear" w:color="auto" w:fill="FAF6EF"/>
          </w:tcPr>
          <w:p>
            <w:pPr>
              <w:spacing w:after="0"/>
              <w:rPr>
                <w:sz w:val="8"/>
                <w:szCs w:val="8"/>
                <w:color w:val="auto"/>
              </w:rPr>
            </w:pPr>
          </w:p>
        </w:tc>
        <w:tc>
          <w:tcPr>
            <w:tcW w:w="1040" w:type="dxa"/>
            <w:vAlign w:val="bottom"/>
            <w:vMerge w:val="continue"/>
            <w:shd w:val="clear" w:color="auto" w:fill="FAF6EF"/>
          </w:tcPr>
          <w:p>
            <w:pPr>
              <w:spacing w:after="0"/>
              <w:rPr>
                <w:sz w:val="8"/>
                <w:szCs w:val="8"/>
                <w:color w:val="auto"/>
              </w:rPr>
            </w:pPr>
          </w:p>
        </w:tc>
        <w:tc>
          <w:tcPr>
            <w:tcW w:w="540" w:type="dxa"/>
            <w:vAlign w:val="bottom"/>
            <w:tcBorders>
              <w:right w:val="single" w:sz="8" w:color="7D7D7D"/>
            </w:tcBorders>
            <w:vMerge w:val="restart"/>
            <w:shd w:val="clear" w:color="auto" w:fill="FAF6EF"/>
          </w:tcPr>
          <w:p>
            <w:pPr>
              <w:jc w:val="right"/>
              <w:ind w:right="309"/>
              <w:spacing w:after="0"/>
              <w:rPr>
                <w:sz w:val="20"/>
                <w:szCs w:val="20"/>
                <w:color w:val="auto"/>
              </w:rPr>
            </w:pPr>
            <w:r>
              <w:rPr>
                <w:rFonts w:ascii="Arial" w:cs="Arial" w:eastAsia="Arial" w:hAnsi="Arial"/>
                <w:sz w:val="10"/>
                <w:szCs w:val="10"/>
                <w:color w:val="auto"/>
              </w:rPr>
              <w:t>(5)</w:t>
            </w:r>
          </w:p>
        </w:tc>
        <w:tc>
          <w:tcPr>
            <w:tcW w:w="1040" w:type="dxa"/>
            <w:vAlign w:val="bottom"/>
            <w:vMerge w:val="continue"/>
            <w:shd w:val="clear" w:color="auto" w:fill="FAF6EF"/>
          </w:tcPr>
          <w:p>
            <w:pPr>
              <w:spacing w:after="0"/>
              <w:rPr>
                <w:sz w:val="8"/>
                <w:szCs w:val="8"/>
                <w:color w:val="auto"/>
              </w:rPr>
            </w:pPr>
          </w:p>
        </w:tc>
        <w:tc>
          <w:tcPr>
            <w:tcW w:w="20" w:type="dxa"/>
            <w:vAlign w:val="bottom"/>
            <w:shd w:val="clear" w:color="auto" w:fill="7D7D7D"/>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660" w:type="dxa"/>
            <w:vAlign w:val="bottom"/>
            <w:tcBorders>
              <w:left w:val="single" w:sz="8" w:color="7D7D7D"/>
            </w:tcBorders>
            <w:shd w:val="clear" w:color="auto" w:fill="FAF6EF"/>
          </w:tcPr>
          <w:p>
            <w:pPr>
              <w:spacing w:after="0"/>
              <w:rPr>
                <w:sz w:val="10"/>
                <w:szCs w:val="10"/>
                <w:color w:val="auto"/>
              </w:rPr>
            </w:pPr>
          </w:p>
        </w:tc>
        <w:tc>
          <w:tcPr>
            <w:tcW w:w="120" w:type="dxa"/>
            <w:vAlign w:val="bottom"/>
            <w:tcBorders>
              <w:right w:val="single" w:sz="8" w:color="7D7D7D"/>
            </w:tcBorders>
            <w:shd w:val="clear" w:color="auto" w:fill="FAF6EF"/>
          </w:tcPr>
          <w:p>
            <w:pPr>
              <w:spacing w:after="0"/>
              <w:rPr>
                <w:sz w:val="10"/>
                <w:szCs w:val="10"/>
                <w:color w:val="auto"/>
              </w:rPr>
            </w:pPr>
          </w:p>
        </w:tc>
        <w:tc>
          <w:tcPr>
            <w:tcW w:w="10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3/8/2023</w:t>
            </w:r>
          </w:p>
        </w:tc>
        <w:tc>
          <w:tcPr>
            <w:tcW w:w="120" w:type="dxa"/>
            <w:vAlign w:val="bottom"/>
            <w:tcBorders>
              <w:right w:val="single" w:sz="8" w:color="7D7D7D"/>
            </w:tcBorders>
            <w:shd w:val="clear" w:color="auto" w:fill="FAF6EF"/>
          </w:tcPr>
          <w:p>
            <w:pPr>
              <w:spacing w:after="0"/>
              <w:rPr>
                <w:sz w:val="10"/>
                <w:szCs w:val="10"/>
                <w:color w:val="auto"/>
              </w:rPr>
            </w:pPr>
          </w:p>
        </w:tc>
        <w:tc>
          <w:tcPr>
            <w:tcW w:w="780" w:type="dxa"/>
            <w:vAlign w:val="bottom"/>
            <w:vMerge w:val="restart"/>
            <w:shd w:val="clear" w:color="auto" w:fill="FAF6EF"/>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shd w:val="clear" w:color="auto" w:fill="FAF6EF"/>
          </w:tcPr>
          <w:p>
            <w:pPr>
              <w:spacing w:after="0"/>
              <w:rPr>
                <w:sz w:val="10"/>
                <w:szCs w:val="10"/>
                <w:color w:val="auto"/>
              </w:rPr>
            </w:pP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shd w:val="clear" w:color="auto" w:fill="FAF6EF"/>
          </w:tcPr>
          <w:p>
            <w:pPr>
              <w:spacing w:after="0"/>
              <w:rPr>
                <w:sz w:val="10"/>
                <w:szCs w:val="10"/>
                <w:color w:val="auto"/>
              </w:rPr>
            </w:pPr>
          </w:p>
        </w:tc>
        <w:tc>
          <w:tcPr>
            <w:tcW w:w="800" w:type="dxa"/>
            <w:vAlign w:val="bottom"/>
            <w:vMerge w:val="restart"/>
            <w:shd w:val="clear" w:color="auto" w:fill="FAF6EF"/>
          </w:tcPr>
          <w:p>
            <w:pPr>
              <w:jc w:val="center"/>
              <w:ind w:left="42"/>
              <w:spacing w:after="0"/>
              <w:rPr>
                <w:sz w:val="20"/>
                <w:szCs w:val="20"/>
                <w:color w:val="auto"/>
              </w:rPr>
            </w:pPr>
            <w:r>
              <w:rPr>
                <w:rFonts w:ascii="Arial" w:cs="Arial" w:eastAsia="Arial" w:hAnsi="Arial"/>
                <w:sz w:val="16"/>
                <w:szCs w:val="16"/>
                <w:color w:val="auto"/>
                <w:w w:val="99"/>
              </w:rPr>
              <w:t>2,475</w:t>
            </w:r>
          </w:p>
        </w:tc>
        <w:tc>
          <w:tcPr>
            <w:tcW w:w="260" w:type="dxa"/>
            <w:vAlign w:val="bottom"/>
            <w:tcBorders>
              <w:right w:val="single" w:sz="8" w:color="7D7D7D"/>
            </w:tcBorders>
            <w:shd w:val="clear" w:color="auto" w:fill="FAF6EF"/>
          </w:tcPr>
          <w:p>
            <w:pPr>
              <w:spacing w:after="0"/>
              <w:rPr>
                <w:sz w:val="10"/>
                <w:szCs w:val="10"/>
                <w:color w:val="auto"/>
              </w:rPr>
            </w:pPr>
          </w:p>
        </w:tc>
        <w:tc>
          <w:tcPr>
            <w:tcW w:w="1160" w:type="dxa"/>
            <w:vAlign w:val="bottom"/>
            <w:tcBorders>
              <w:right w:val="single" w:sz="8" w:color="7D7D7D"/>
            </w:tcBorders>
            <w:vMerge w:val="restart"/>
            <w:shd w:val="clear" w:color="auto" w:fill="FAF6EF"/>
          </w:tcPr>
          <w:p>
            <w:pPr>
              <w:jc w:val="center"/>
              <w:ind w:right="62"/>
              <w:spacing w:after="0"/>
              <w:rPr>
                <w:sz w:val="20"/>
                <w:szCs w:val="20"/>
                <w:color w:val="auto"/>
              </w:rPr>
            </w:pPr>
            <w:r>
              <w:rPr>
                <w:rFonts w:ascii="Arial" w:cs="Arial" w:eastAsia="Arial" w:hAnsi="Arial"/>
                <w:sz w:val="16"/>
                <w:szCs w:val="16"/>
                <w:color w:val="auto"/>
                <w:w w:val="94"/>
              </w:rPr>
              <w:t>4,950</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7,425</w:t>
            </w:r>
          </w:p>
        </w:tc>
        <w:tc>
          <w:tcPr>
            <w:tcW w:w="140" w:type="dxa"/>
            <w:vAlign w:val="bottom"/>
            <w:tcBorders>
              <w:right w:val="single" w:sz="8" w:color="7D7D7D"/>
            </w:tcBorders>
            <w:shd w:val="clear" w:color="auto" w:fill="FAF6EF"/>
          </w:tcPr>
          <w:p>
            <w:pPr>
              <w:spacing w:after="0"/>
              <w:rPr>
                <w:sz w:val="10"/>
                <w:szCs w:val="10"/>
                <w:color w:val="auto"/>
              </w:rPr>
            </w:pPr>
          </w:p>
        </w:tc>
        <w:tc>
          <w:tcPr>
            <w:tcW w:w="1040" w:type="dxa"/>
            <w:vAlign w:val="bottom"/>
            <w:vMerge w:val="restart"/>
            <w:shd w:val="clear" w:color="auto" w:fill="FAF6EF"/>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right w:val="single" w:sz="8" w:color="7D7D7D"/>
            </w:tcBorders>
            <w:vMerge w:val="continue"/>
            <w:shd w:val="clear" w:color="auto" w:fill="FAF6EF"/>
          </w:tcPr>
          <w:p>
            <w:pPr>
              <w:spacing w:after="0"/>
              <w:rPr>
                <w:sz w:val="10"/>
                <w:szCs w:val="10"/>
                <w:color w:val="auto"/>
              </w:rPr>
            </w:pP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1,080,635</w:t>
            </w: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tcBorders>
              <w:left w:val="single" w:sz="8" w:color="7D7D7D"/>
            </w:tcBorders>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102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780" w:type="dxa"/>
            <w:vAlign w:val="bottom"/>
            <w:vMerge w:val="continue"/>
            <w:shd w:val="clear" w:color="auto" w:fill="FAF6EF"/>
          </w:tcPr>
          <w:p>
            <w:pPr>
              <w:spacing w:after="0"/>
              <w:rPr>
                <w:sz w:val="11"/>
                <w:szCs w:val="11"/>
                <w:color w:val="auto"/>
              </w:rPr>
            </w:pPr>
          </w:p>
        </w:tc>
        <w:tc>
          <w:tcPr>
            <w:tcW w:w="340" w:type="dxa"/>
            <w:vAlign w:val="bottom"/>
            <w:tcBorders>
              <w:right w:val="single" w:sz="8" w:color="7D7D7D"/>
            </w:tcBorders>
            <w:shd w:val="clear" w:color="auto" w:fill="FAF6EF"/>
          </w:tcPr>
          <w:p>
            <w:pPr>
              <w:spacing w:after="0"/>
              <w:rPr>
                <w:sz w:val="11"/>
                <w:szCs w:val="11"/>
                <w:color w:val="auto"/>
              </w:rPr>
            </w:pPr>
          </w:p>
        </w:tc>
        <w:tc>
          <w:tcPr>
            <w:tcW w:w="106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800" w:type="dxa"/>
            <w:vAlign w:val="bottom"/>
            <w:vMerge w:val="continue"/>
            <w:shd w:val="clear" w:color="auto" w:fill="FAF6EF"/>
          </w:tcPr>
          <w:p>
            <w:pPr>
              <w:spacing w:after="0"/>
              <w:rPr>
                <w:sz w:val="11"/>
                <w:szCs w:val="11"/>
                <w:color w:val="auto"/>
              </w:rPr>
            </w:pPr>
          </w:p>
        </w:tc>
        <w:tc>
          <w:tcPr>
            <w:tcW w:w="260" w:type="dxa"/>
            <w:vAlign w:val="bottom"/>
            <w:tcBorders>
              <w:right w:val="single" w:sz="8" w:color="7D7D7D"/>
            </w:tcBorders>
            <w:shd w:val="clear" w:color="auto" w:fill="FAF6EF"/>
          </w:tcPr>
          <w:p>
            <w:pPr>
              <w:spacing w:after="0"/>
              <w:rPr>
                <w:sz w:val="11"/>
                <w:szCs w:val="11"/>
                <w:color w:val="auto"/>
              </w:rPr>
            </w:pPr>
          </w:p>
        </w:tc>
        <w:tc>
          <w:tcPr>
            <w:tcW w:w="1160" w:type="dxa"/>
            <w:vAlign w:val="bottom"/>
            <w:tcBorders>
              <w:right w:val="single" w:sz="8" w:color="7D7D7D"/>
            </w:tcBorders>
            <w:vMerge w:val="continue"/>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140" w:type="dxa"/>
            <w:vAlign w:val="bottom"/>
            <w:tcBorders>
              <w:right w:val="single" w:sz="8" w:color="7D7D7D"/>
            </w:tcBorders>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540" w:type="dxa"/>
            <w:vAlign w:val="bottom"/>
            <w:tcBorders>
              <w:right w:val="single" w:sz="8" w:color="7D7D7D"/>
            </w:tcBorders>
            <w:vMerge w:val="restart"/>
            <w:shd w:val="clear" w:color="auto" w:fill="FAF6EF"/>
          </w:tcPr>
          <w:p>
            <w:pPr>
              <w:jc w:val="right"/>
              <w:ind w:right="309"/>
              <w:spacing w:after="0"/>
              <w:rPr>
                <w:sz w:val="20"/>
                <w:szCs w:val="20"/>
                <w:color w:val="auto"/>
              </w:rPr>
            </w:pPr>
            <w:r>
              <w:rPr>
                <w:rFonts w:ascii="Arial" w:cs="Arial" w:eastAsia="Arial" w:hAnsi="Arial"/>
                <w:sz w:val="10"/>
                <w:szCs w:val="10"/>
                <w:color w:val="auto"/>
              </w:rPr>
              <w:t>(6)</w:t>
            </w:r>
          </w:p>
        </w:tc>
        <w:tc>
          <w:tcPr>
            <w:tcW w:w="1040" w:type="dxa"/>
            <w:vAlign w:val="bottom"/>
            <w:vMerge w:val="continue"/>
            <w:shd w:val="clear" w:color="auto" w:fill="FAF6EF"/>
          </w:tcPr>
          <w:p>
            <w:pPr>
              <w:spacing w:after="0"/>
              <w:rPr>
                <w:sz w:val="11"/>
                <w:szCs w:val="11"/>
                <w:color w:val="auto"/>
              </w:rPr>
            </w:pP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60" w:type="dxa"/>
            <w:vAlign w:val="bottom"/>
            <w:tcBorders>
              <w:left w:val="single" w:sz="8" w:color="7D7D7D"/>
            </w:tcBorders>
            <w:shd w:val="clear" w:color="auto" w:fill="FAF6EF"/>
          </w:tcPr>
          <w:p>
            <w:pPr>
              <w:spacing w:after="0"/>
              <w:rPr>
                <w:sz w:val="10"/>
                <w:szCs w:val="10"/>
                <w:color w:val="auto"/>
              </w:rPr>
            </w:pPr>
          </w:p>
        </w:tc>
        <w:tc>
          <w:tcPr>
            <w:tcW w:w="120" w:type="dxa"/>
            <w:vAlign w:val="bottom"/>
            <w:tcBorders>
              <w:right w:val="single" w:sz="8" w:color="7D7D7D"/>
            </w:tcBorders>
            <w:shd w:val="clear" w:color="auto" w:fill="FAF6EF"/>
          </w:tcPr>
          <w:p>
            <w:pPr>
              <w:spacing w:after="0"/>
              <w:rPr>
                <w:sz w:val="10"/>
                <w:szCs w:val="10"/>
                <w:color w:val="auto"/>
              </w:rPr>
            </w:pPr>
          </w:p>
        </w:tc>
        <w:tc>
          <w:tcPr>
            <w:tcW w:w="10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3/8/2023</w:t>
            </w:r>
          </w:p>
        </w:tc>
        <w:tc>
          <w:tcPr>
            <w:tcW w:w="120" w:type="dxa"/>
            <w:vAlign w:val="bottom"/>
            <w:tcBorders>
              <w:right w:val="single" w:sz="8" w:color="7D7D7D"/>
            </w:tcBorders>
            <w:shd w:val="clear" w:color="auto" w:fill="FAF6EF"/>
          </w:tcPr>
          <w:p>
            <w:pPr>
              <w:spacing w:after="0"/>
              <w:rPr>
                <w:sz w:val="10"/>
                <w:szCs w:val="10"/>
                <w:color w:val="auto"/>
              </w:rPr>
            </w:pPr>
          </w:p>
        </w:tc>
        <w:tc>
          <w:tcPr>
            <w:tcW w:w="780" w:type="dxa"/>
            <w:vAlign w:val="bottom"/>
            <w:vMerge w:val="restart"/>
            <w:shd w:val="clear" w:color="auto" w:fill="FAF6EF"/>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shd w:val="clear" w:color="auto" w:fill="FAF6EF"/>
          </w:tcPr>
          <w:p>
            <w:pPr>
              <w:spacing w:after="0"/>
              <w:rPr>
                <w:sz w:val="10"/>
                <w:szCs w:val="10"/>
                <w:color w:val="auto"/>
              </w:rPr>
            </w:pP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shd w:val="clear" w:color="auto" w:fill="FAF6EF"/>
          </w:tcPr>
          <w:p>
            <w:pPr>
              <w:spacing w:after="0"/>
              <w:rPr>
                <w:sz w:val="10"/>
                <w:szCs w:val="10"/>
                <w:color w:val="auto"/>
              </w:rPr>
            </w:pPr>
          </w:p>
        </w:tc>
        <w:tc>
          <w:tcPr>
            <w:tcW w:w="800" w:type="dxa"/>
            <w:vAlign w:val="bottom"/>
            <w:vMerge w:val="restart"/>
            <w:shd w:val="clear" w:color="auto" w:fill="FAF6EF"/>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shd w:val="clear" w:color="auto" w:fill="FAF6EF"/>
          </w:tcPr>
          <w:p>
            <w:pPr>
              <w:spacing w:after="0"/>
              <w:rPr>
                <w:sz w:val="10"/>
                <w:szCs w:val="10"/>
                <w:color w:val="auto"/>
              </w:rPr>
            </w:pPr>
          </w:p>
        </w:tc>
        <w:tc>
          <w:tcPr>
            <w:tcW w:w="1160" w:type="dxa"/>
            <w:vAlign w:val="bottom"/>
            <w:tcBorders>
              <w:right w:val="single" w:sz="8" w:color="7D7D7D"/>
            </w:tcBorders>
            <w:vMerge w:val="restart"/>
            <w:shd w:val="clear" w:color="auto" w:fill="FAF6EF"/>
          </w:tcPr>
          <w:p>
            <w:pPr>
              <w:jc w:val="center"/>
              <w:ind w:right="62"/>
              <w:spacing w:after="0"/>
              <w:rPr>
                <w:sz w:val="20"/>
                <w:szCs w:val="20"/>
                <w:color w:val="auto"/>
              </w:rPr>
            </w:pPr>
            <w:r>
              <w:rPr>
                <w:rFonts w:ascii="Arial" w:cs="Arial" w:eastAsia="Arial" w:hAnsi="Arial"/>
                <w:sz w:val="16"/>
                <w:szCs w:val="16"/>
                <w:color w:val="auto"/>
                <w:w w:val="94"/>
              </w:rPr>
              <w:t>5,100</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10,200</w:t>
            </w:r>
          </w:p>
        </w:tc>
        <w:tc>
          <w:tcPr>
            <w:tcW w:w="140" w:type="dxa"/>
            <w:vAlign w:val="bottom"/>
            <w:tcBorders>
              <w:right w:val="single" w:sz="8" w:color="7D7D7D"/>
            </w:tcBorders>
            <w:shd w:val="clear" w:color="auto" w:fill="FAF6EF"/>
          </w:tcPr>
          <w:p>
            <w:pPr>
              <w:spacing w:after="0"/>
              <w:rPr>
                <w:sz w:val="10"/>
                <w:szCs w:val="10"/>
                <w:color w:val="auto"/>
              </w:rPr>
            </w:pPr>
          </w:p>
        </w:tc>
        <w:tc>
          <w:tcPr>
            <w:tcW w:w="1040" w:type="dxa"/>
            <w:vAlign w:val="bottom"/>
            <w:vMerge w:val="restart"/>
            <w:shd w:val="clear" w:color="auto" w:fill="FAF6EF"/>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right w:val="single" w:sz="8" w:color="7D7D7D"/>
            </w:tcBorders>
            <w:vMerge w:val="continue"/>
            <w:shd w:val="clear" w:color="auto" w:fill="FAF6EF"/>
          </w:tcPr>
          <w:p>
            <w:pPr>
              <w:spacing w:after="0"/>
              <w:rPr>
                <w:sz w:val="10"/>
                <w:szCs w:val="10"/>
                <w:color w:val="auto"/>
              </w:rPr>
            </w:pP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1,364,607</w:t>
            </w: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tcBorders>
              <w:left w:val="single" w:sz="8" w:color="7D7D7D"/>
            </w:tcBorders>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102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780" w:type="dxa"/>
            <w:vAlign w:val="bottom"/>
            <w:vMerge w:val="continue"/>
            <w:shd w:val="clear" w:color="auto" w:fill="FAF6EF"/>
          </w:tcPr>
          <w:p>
            <w:pPr>
              <w:spacing w:after="0"/>
              <w:rPr>
                <w:sz w:val="11"/>
                <w:szCs w:val="11"/>
                <w:color w:val="auto"/>
              </w:rPr>
            </w:pPr>
          </w:p>
        </w:tc>
        <w:tc>
          <w:tcPr>
            <w:tcW w:w="340" w:type="dxa"/>
            <w:vAlign w:val="bottom"/>
            <w:tcBorders>
              <w:right w:val="single" w:sz="8" w:color="7D7D7D"/>
            </w:tcBorders>
            <w:shd w:val="clear" w:color="auto" w:fill="FAF6EF"/>
          </w:tcPr>
          <w:p>
            <w:pPr>
              <w:spacing w:after="0"/>
              <w:rPr>
                <w:sz w:val="11"/>
                <w:szCs w:val="11"/>
                <w:color w:val="auto"/>
              </w:rPr>
            </w:pPr>
          </w:p>
        </w:tc>
        <w:tc>
          <w:tcPr>
            <w:tcW w:w="106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800" w:type="dxa"/>
            <w:vAlign w:val="bottom"/>
            <w:vMerge w:val="continue"/>
            <w:shd w:val="clear" w:color="auto" w:fill="FAF6EF"/>
          </w:tcPr>
          <w:p>
            <w:pPr>
              <w:spacing w:after="0"/>
              <w:rPr>
                <w:sz w:val="11"/>
                <w:szCs w:val="11"/>
                <w:color w:val="auto"/>
              </w:rPr>
            </w:pPr>
          </w:p>
        </w:tc>
        <w:tc>
          <w:tcPr>
            <w:tcW w:w="260" w:type="dxa"/>
            <w:vAlign w:val="bottom"/>
            <w:tcBorders>
              <w:right w:val="single" w:sz="8" w:color="7D7D7D"/>
            </w:tcBorders>
            <w:shd w:val="clear" w:color="auto" w:fill="FAF6EF"/>
          </w:tcPr>
          <w:p>
            <w:pPr>
              <w:spacing w:after="0"/>
              <w:rPr>
                <w:sz w:val="11"/>
                <w:szCs w:val="11"/>
                <w:color w:val="auto"/>
              </w:rPr>
            </w:pPr>
          </w:p>
        </w:tc>
        <w:tc>
          <w:tcPr>
            <w:tcW w:w="1160" w:type="dxa"/>
            <w:vAlign w:val="bottom"/>
            <w:tcBorders>
              <w:right w:val="single" w:sz="8" w:color="7D7D7D"/>
            </w:tcBorders>
            <w:vMerge w:val="continue"/>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140" w:type="dxa"/>
            <w:vAlign w:val="bottom"/>
            <w:tcBorders>
              <w:right w:val="single" w:sz="8" w:color="7D7D7D"/>
            </w:tcBorders>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540" w:type="dxa"/>
            <w:vAlign w:val="bottom"/>
            <w:tcBorders>
              <w:right w:val="single" w:sz="8" w:color="7D7D7D"/>
            </w:tcBorders>
            <w:vMerge w:val="restart"/>
            <w:shd w:val="clear" w:color="auto" w:fill="FAF6EF"/>
          </w:tcPr>
          <w:p>
            <w:pPr>
              <w:jc w:val="right"/>
              <w:ind w:right="309"/>
              <w:spacing w:after="0"/>
              <w:rPr>
                <w:sz w:val="20"/>
                <w:szCs w:val="20"/>
                <w:color w:val="auto"/>
              </w:rPr>
            </w:pPr>
            <w:r>
              <w:rPr>
                <w:rFonts w:ascii="Arial" w:cs="Arial" w:eastAsia="Arial" w:hAnsi="Arial"/>
                <w:sz w:val="10"/>
                <w:szCs w:val="10"/>
                <w:color w:val="auto"/>
              </w:rPr>
              <w:t>(7)</w:t>
            </w:r>
          </w:p>
        </w:tc>
        <w:tc>
          <w:tcPr>
            <w:tcW w:w="1040" w:type="dxa"/>
            <w:vAlign w:val="bottom"/>
            <w:vMerge w:val="continue"/>
            <w:shd w:val="clear" w:color="auto" w:fill="FAF6EF"/>
          </w:tcPr>
          <w:p>
            <w:pPr>
              <w:spacing w:after="0"/>
              <w:rPr>
                <w:sz w:val="11"/>
                <w:szCs w:val="11"/>
                <w:color w:val="auto"/>
              </w:rPr>
            </w:pP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60" w:type="dxa"/>
            <w:vAlign w:val="bottom"/>
            <w:tcBorders>
              <w:left w:val="single" w:sz="8" w:color="7D7D7D"/>
            </w:tcBorders>
            <w:shd w:val="clear" w:color="auto" w:fill="FAF6EF"/>
          </w:tcPr>
          <w:p>
            <w:pPr>
              <w:spacing w:after="0"/>
              <w:rPr>
                <w:sz w:val="10"/>
                <w:szCs w:val="10"/>
                <w:color w:val="auto"/>
              </w:rPr>
            </w:pPr>
          </w:p>
        </w:tc>
        <w:tc>
          <w:tcPr>
            <w:tcW w:w="120" w:type="dxa"/>
            <w:vAlign w:val="bottom"/>
            <w:tcBorders>
              <w:right w:val="single" w:sz="8" w:color="7D7D7D"/>
            </w:tcBorders>
            <w:shd w:val="clear" w:color="auto" w:fill="FAF6EF"/>
          </w:tcPr>
          <w:p>
            <w:pPr>
              <w:spacing w:after="0"/>
              <w:rPr>
                <w:sz w:val="10"/>
                <w:szCs w:val="10"/>
                <w:color w:val="auto"/>
              </w:rPr>
            </w:pPr>
          </w:p>
        </w:tc>
        <w:tc>
          <w:tcPr>
            <w:tcW w:w="10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7/21/2023</w:t>
            </w:r>
          </w:p>
        </w:tc>
        <w:tc>
          <w:tcPr>
            <w:tcW w:w="120" w:type="dxa"/>
            <w:vAlign w:val="bottom"/>
            <w:tcBorders>
              <w:right w:val="single" w:sz="8" w:color="7D7D7D"/>
            </w:tcBorders>
            <w:shd w:val="clear" w:color="auto" w:fill="FAF6EF"/>
          </w:tcPr>
          <w:p>
            <w:pPr>
              <w:spacing w:after="0"/>
              <w:rPr>
                <w:sz w:val="10"/>
                <w:szCs w:val="10"/>
                <w:color w:val="auto"/>
              </w:rPr>
            </w:pPr>
          </w:p>
        </w:tc>
        <w:tc>
          <w:tcPr>
            <w:tcW w:w="780" w:type="dxa"/>
            <w:vAlign w:val="bottom"/>
            <w:vMerge w:val="restart"/>
            <w:shd w:val="clear" w:color="auto" w:fill="FAF6EF"/>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shd w:val="clear" w:color="auto" w:fill="FAF6EF"/>
          </w:tcPr>
          <w:p>
            <w:pPr>
              <w:spacing w:after="0"/>
              <w:rPr>
                <w:sz w:val="10"/>
                <w:szCs w:val="10"/>
                <w:color w:val="auto"/>
              </w:rPr>
            </w:pP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shd w:val="clear" w:color="auto" w:fill="FAF6EF"/>
          </w:tcPr>
          <w:p>
            <w:pPr>
              <w:spacing w:after="0"/>
              <w:rPr>
                <w:sz w:val="10"/>
                <w:szCs w:val="10"/>
                <w:color w:val="auto"/>
              </w:rPr>
            </w:pPr>
          </w:p>
        </w:tc>
        <w:tc>
          <w:tcPr>
            <w:tcW w:w="800" w:type="dxa"/>
            <w:vAlign w:val="bottom"/>
            <w:vMerge w:val="restart"/>
            <w:shd w:val="clear" w:color="auto" w:fill="FAF6EF"/>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shd w:val="clear" w:color="auto" w:fill="FAF6EF"/>
          </w:tcPr>
          <w:p>
            <w:pPr>
              <w:spacing w:after="0"/>
              <w:rPr>
                <w:sz w:val="10"/>
                <w:szCs w:val="10"/>
                <w:color w:val="auto"/>
              </w:rPr>
            </w:pPr>
          </w:p>
        </w:tc>
        <w:tc>
          <w:tcPr>
            <w:tcW w:w="1160" w:type="dxa"/>
            <w:vAlign w:val="bottom"/>
            <w:tcBorders>
              <w:right w:val="single" w:sz="8" w:color="7D7D7D"/>
            </w:tcBorders>
            <w:vMerge w:val="restart"/>
            <w:shd w:val="clear" w:color="auto" w:fill="FAF6EF"/>
          </w:tcPr>
          <w:p>
            <w:pPr>
              <w:jc w:val="center"/>
              <w:ind w:right="82"/>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7D7D7D"/>
            </w:tcBorders>
            <w:gridSpan w:val="2"/>
            <w:vMerge w:val="restart"/>
            <w:shd w:val="clear" w:color="auto" w:fill="FAF6EF"/>
          </w:tcPr>
          <w:p>
            <w:pPr>
              <w:jc w:val="center"/>
              <w:ind w:right="140"/>
              <w:spacing w:after="0"/>
              <w:rPr>
                <w:sz w:val="20"/>
                <w:szCs w:val="20"/>
                <w:color w:val="auto"/>
              </w:rPr>
            </w:pPr>
            <w:r>
              <w:rPr>
                <w:rFonts w:ascii="Arial" w:cs="Arial" w:eastAsia="Arial" w:hAnsi="Arial"/>
                <w:sz w:val="16"/>
                <w:szCs w:val="16"/>
                <w:color w:val="auto"/>
                <w:w w:val="99"/>
              </w:rPr>
              <w:t>—</w:t>
            </w:r>
          </w:p>
        </w:tc>
        <w:tc>
          <w:tcPr>
            <w:tcW w:w="1040" w:type="dxa"/>
            <w:vAlign w:val="bottom"/>
            <w:vMerge w:val="restart"/>
            <w:shd w:val="clear" w:color="auto" w:fill="FAF6EF"/>
          </w:tcPr>
          <w:p>
            <w:pPr>
              <w:jc w:val="center"/>
              <w:ind w:right="124"/>
              <w:spacing w:after="0"/>
              <w:rPr>
                <w:sz w:val="20"/>
                <w:szCs w:val="20"/>
                <w:color w:val="auto"/>
              </w:rPr>
            </w:pPr>
            <w:r>
              <w:rPr>
                <w:rFonts w:ascii="Arial" w:cs="Arial" w:eastAsia="Arial" w:hAnsi="Arial"/>
                <w:sz w:val="16"/>
                <w:szCs w:val="16"/>
                <w:color w:val="auto"/>
                <w:w w:val="98"/>
              </w:rPr>
              <w:t>30,000</w:t>
            </w:r>
          </w:p>
        </w:tc>
        <w:tc>
          <w:tcPr>
            <w:tcW w:w="540" w:type="dxa"/>
            <w:vAlign w:val="bottom"/>
            <w:tcBorders>
              <w:right w:val="single" w:sz="8" w:color="7D7D7D"/>
            </w:tcBorders>
            <w:vMerge w:val="continue"/>
            <w:shd w:val="clear" w:color="auto" w:fill="FAF6EF"/>
          </w:tcPr>
          <w:p>
            <w:pPr>
              <w:spacing w:after="0"/>
              <w:rPr>
                <w:sz w:val="10"/>
                <w:szCs w:val="10"/>
                <w:color w:val="auto"/>
              </w:rPr>
            </w:pP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5,324,400</w:t>
            </w: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tcBorders>
              <w:left w:val="single" w:sz="8" w:color="7D7D7D"/>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120" w:type="dxa"/>
            <w:vAlign w:val="bottom"/>
            <w:tcBorders>
              <w:right w:val="single" w:sz="8" w:color="7D7D7D"/>
            </w:tcBorders>
            <w:shd w:val="clear" w:color="auto" w:fill="FAF6EF"/>
          </w:tcPr>
          <w:p>
            <w:pPr>
              <w:spacing w:after="0"/>
              <w:rPr>
                <w:sz w:val="11"/>
                <w:szCs w:val="11"/>
                <w:color w:val="auto"/>
              </w:rPr>
            </w:pPr>
          </w:p>
        </w:tc>
        <w:tc>
          <w:tcPr>
            <w:tcW w:w="102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780" w:type="dxa"/>
            <w:vAlign w:val="bottom"/>
            <w:vMerge w:val="continue"/>
            <w:shd w:val="clear" w:color="auto" w:fill="FAF6EF"/>
          </w:tcPr>
          <w:p>
            <w:pPr>
              <w:spacing w:after="0"/>
              <w:rPr>
                <w:sz w:val="11"/>
                <w:szCs w:val="11"/>
                <w:color w:val="auto"/>
              </w:rPr>
            </w:pPr>
          </w:p>
        </w:tc>
        <w:tc>
          <w:tcPr>
            <w:tcW w:w="340" w:type="dxa"/>
            <w:vAlign w:val="bottom"/>
            <w:tcBorders>
              <w:right w:val="single" w:sz="8" w:color="7D7D7D"/>
            </w:tcBorders>
            <w:shd w:val="clear" w:color="auto" w:fill="FAF6EF"/>
          </w:tcPr>
          <w:p>
            <w:pPr>
              <w:spacing w:after="0"/>
              <w:rPr>
                <w:sz w:val="11"/>
                <w:szCs w:val="11"/>
                <w:color w:val="auto"/>
              </w:rPr>
            </w:pPr>
          </w:p>
        </w:tc>
        <w:tc>
          <w:tcPr>
            <w:tcW w:w="106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800" w:type="dxa"/>
            <w:vAlign w:val="bottom"/>
            <w:vMerge w:val="continue"/>
            <w:shd w:val="clear" w:color="auto" w:fill="FAF6EF"/>
          </w:tcPr>
          <w:p>
            <w:pPr>
              <w:spacing w:after="0"/>
              <w:rPr>
                <w:sz w:val="11"/>
                <w:szCs w:val="11"/>
                <w:color w:val="auto"/>
              </w:rPr>
            </w:pPr>
          </w:p>
        </w:tc>
        <w:tc>
          <w:tcPr>
            <w:tcW w:w="260" w:type="dxa"/>
            <w:vAlign w:val="bottom"/>
            <w:tcBorders>
              <w:right w:val="single" w:sz="8" w:color="7D7D7D"/>
            </w:tcBorders>
            <w:shd w:val="clear" w:color="auto" w:fill="FAF6EF"/>
          </w:tcPr>
          <w:p>
            <w:pPr>
              <w:spacing w:after="0"/>
              <w:rPr>
                <w:sz w:val="11"/>
                <w:szCs w:val="11"/>
                <w:color w:val="auto"/>
              </w:rPr>
            </w:pPr>
          </w:p>
        </w:tc>
        <w:tc>
          <w:tcPr>
            <w:tcW w:w="1160" w:type="dxa"/>
            <w:vAlign w:val="bottom"/>
            <w:tcBorders>
              <w:right w:val="single" w:sz="8" w:color="7D7D7D"/>
            </w:tcBorders>
            <w:vMerge w:val="continue"/>
            <w:shd w:val="clear" w:color="auto" w:fill="FAF6EF"/>
          </w:tcPr>
          <w:p>
            <w:pPr>
              <w:spacing w:after="0"/>
              <w:rPr>
                <w:sz w:val="11"/>
                <w:szCs w:val="11"/>
                <w:color w:val="auto"/>
              </w:rPr>
            </w:pPr>
          </w:p>
        </w:tc>
        <w:tc>
          <w:tcPr>
            <w:tcW w:w="1180" w:type="dxa"/>
            <w:vAlign w:val="bottom"/>
            <w:tcBorders>
              <w:right w:val="single" w:sz="8" w:color="7D7D7D"/>
            </w:tcBorders>
            <w:gridSpan w:val="2"/>
            <w:vMerge w:val="continue"/>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540" w:type="dxa"/>
            <w:vAlign w:val="bottom"/>
            <w:tcBorders>
              <w:right w:val="single" w:sz="8" w:color="7D7D7D"/>
            </w:tcBorders>
            <w:vMerge w:val="restart"/>
            <w:shd w:val="clear" w:color="auto" w:fill="FAF6EF"/>
          </w:tcPr>
          <w:p>
            <w:pPr>
              <w:jc w:val="right"/>
              <w:ind w:right="309"/>
              <w:spacing w:after="0"/>
              <w:rPr>
                <w:sz w:val="20"/>
                <w:szCs w:val="20"/>
                <w:color w:val="auto"/>
              </w:rPr>
            </w:pPr>
            <w:r>
              <w:rPr>
                <w:rFonts w:ascii="Arial" w:cs="Arial" w:eastAsia="Arial" w:hAnsi="Arial"/>
                <w:sz w:val="10"/>
                <w:szCs w:val="10"/>
                <w:color w:val="auto"/>
              </w:rPr>
              <w:t>(4)</w:t>
            </w:r>
          </w:p>
        </w:tc>
        <w:tc>
          <w:tcPr>
            <w:tcW w:w="1040" w:type="dxa"/>
            <w:vAlign w:val="bottom"/>
            <w:vMerge w:val="continue"/>
            <w:shd w:val="clear" w:color="auto" w:fill="FAF6EF"/>
          </w:tcPr>
          <w:p>
            <w:pPr>
              <w:spacing w:after="0"/>
              <w:rPr>
                <w:sz w:val="11"/>
                <w:szCs w:val="11"/>
                <w:color w:val="auto"/>
              </w:rPr>
            </w:pP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60" w:type="dxa"/>
            <w:vAlign w:val="bottom"/>
            <w:tcBorders>
              <w:left w:val="single" w:sz="8" w:color="7D7D7D"/>
            </w:tcBorders>
            <w:vMerge w:val="continue"/>
            <w:shd w:val="clear" w:color="auto" w:fill="FAF6EF"/>
          </w:tcPr>
          <w:p>
            <w:pPr>
              <w:spacing w:after="0"/>
              <w:rPr>
                <w:sz w:val="12"/>
                <w:szCs w:val="12"/>
                <w:color w:val="auto"/>
              </w:rPr>
            </w:pPr>
          </w:p>
        </w:tc>
        <w:tc>
          <w:tcPr>
            <w:tcW w:w="120" w:type="dxa"/>
            <w:vAlign w:val="bottom"/>
            <w:tcBorders>
              <w:right w:val="single" w:sz="8" w:color="7D7D7D"/>
            </w:tcBorders>
            <w:shd w:val="clear" w:color="auto" w:fill="FAF6EF"/>
          </w:tcPr>
          <w:p>
            <w:pPr>
              <w:spacing w:after="0"/>
              <w:rPr>
                <w:sz w:val="12"/>
                <w:szCs w:val="12"/>
                <w:color w:val="auto"/>
              </w:rPr>
            </w:pPr>
          </w:p>
        </w:tc>
        <w:tc>
          <w:tcPr>
            <w:tcW w:w="10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7/21/2023</w:t>
            </w:r>
          </w:p>
        </w:tc>
        <w:tc>
          <w:tcPr>
            <w:tcW w:w="120" w:type="dxa"/>
            <w:vAlign w:val="bottom"/>
            <w:tcBorders>
              <w:right w:val="single" w:sz="8" w:color="7D7D7D"/>
            </w:tcBorders>
            <w:shd w:val="clear" w:color="auto" w:fill="FAF6EF"/>
          </w:tcPr>
          <w:p>
            <w:pPr>
              <w:spacing w:after="0"/>
              <w:rPr>
                <w:sz w:val="12"/>
                <w:szCs w:val="12"/>
                <w:color w:val="auto"/>
              </w:rPr>
            </w:pPr>
          </w:p>
        </w:tc>
        <w:tc>
          <w:tcPr>
            <w:tcW w:w="780" w:type="dxa"/>
            <w:vAlign w:val="bottom"/>
            <w:vMerge w:val="restart"/>
            <w:shd w:val="clear" w:color="auto" w:fill="FAF6EF"/>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shd w:val="clear" w:color="auto" w:fill="FAF6EF"/>
          </w:tcPr>
          <w:p>
            <w:pPr>
              <w:spacing w:after="0"/>
              <w:rPr>
                <w:sz w:val="12"/>
                <w:szCs w:val="12"/>
                <w:color w:val="auto"/>
              </w:rPr>
            </w:pP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shd w:val="clear" w:color="auto" w:fill="FAF6EF"/>
          </w:tcPr>
          <w:p>
            <w:pPr>
              <w:spacing w:after="0"/>
              <w:rPr>
                <w:sz w:val="12"/>
                <w:szCs w:val="12"/>
                <w:color w:val="auto"/>
              </w:rPr>
            </w:pPr>
          </w:p>
        </w:tc>
        <w:tc>
          <w:tcPr>
            <w:tcW w:w="800" w:type="dxa"/>
            <w:vAlign w:val="bottom"/>
            <w:vMerge w:val="restart"/>
            <w:shd w:val="clear" w:color="auto" w:fill="FAF6EF"/>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shd w:val="clear" w:color="auto" w:fill="FAF6EF"/>
          </w:tcPr>
          <w:p>
            <w:pPr>
              <w:spacing w:after="0"/>
              <w:rPr>
                <w:sz w:val="12"/>
                <w:szCs w:val="12"/>
                <w:color w:val="auto"/>
              </w:rPr>
            </w:pPr>
          </w:p>
        </w:tc>
        <w:tc>
          <w:tcPr>
            <w:tcW w:w="1160" w:type="dxa"/>
            <w:vAlign w:val="bottom"/>
            <w:tcBorders>
              <w:right w:val="single" w:sz="8" w:color="7D7D7D"/>
            </w:tcBorders>
            <w:vMerge w:val="restart"/>
            <w:shd w:val="clear" w:color="auto" w:fill="FAF6EF"/>
          </w:tcPr>
          <w:p>
            <w:pPr>
              <w:jc w:val="center"/>
              <w:ind w:right="82"/>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7D7D7D"/>
            </w:tcBorders>
            <w:gridSpan w:val="2"/>
            <w:vMerge w:val="restart"/>
            <w:shd w:val="clear" w:color="auto" w:fill="FAF6EF"/>
          </w:tcPr>
          <w:p>
            <w:pPr>
              <w:jc w:val="center"/>
              <w:ind w:right="140"/>
              <w:spacing w:after="0"/>
              <w:rPr>
                <w:sz w:val="20"/>
                <w:szCs w:val="20"/>
                <w:color w:val="auto"/>
              </w:rPr>
            </w:pPr>
            <w:r>
              <w:rPr>
                <w:rFonts w:ascii="Arial" w:cs="Arial" w:eastAsia="Arial" w:hAnsi="Arial"/>
                <w:sz w:val="16"/>
                <w:szCs w:val="16"/>
                <w:color w:val="auto"/>
                <w:w w:val="99"/>
              </w:rPr>
              <w:t>—</w:t>
            </w:r>
          </w:p>
        </w:tc>
        <w:tc>
          <w:tcPr>
            <w:tcW w:w="1040" w:type="dxa"/>
            <w:vAlign w:val="bottom"/>
            <w:vMerge w:val="restart"/>
            <w:shd w:val="clear" w:color="auto" w:fill="FAF6EF"/>
          </w:tcPr>
          <w:p>
            <w:pPr>
              <w:jc w:val="center"/>
              <w:ind w:right="124"/>
              <w:spacing w:after="0"/>
              <w:rPr>
                <w:sz w:val="20"/>
                <w:szCs w:val="20"/>
                <w:color w:val="auto"/>
              </w:rPr>
            </w:pPr>
            <w:r>
              <w:rPr>
                <w:rFonts w:ascii="Arial" w:cs="Arial" w:eastAsia="Arial" w:hAnsi="Arial"/>
                <w:sz w:val="16"/>
                <w:szCs w:val="16"/>
                <w:color w:val="auto"/>
                <w:w w:val="98"/>
              </w:rPr>
              <w:t>13,200</w:t>
            </w:r>
          </w:p>
        </w:tc>
        <w:tc>
          <w:tcPr>
            <w:tcW w:w="540" w:type="dxa"/>
            <w:vAlign w:val="bottom"/>
            <w:tcBorders>
              <w:right w:val="single" w:sz="8" w:color="7D7D7D"/>
            </w:tcBorders>
            <w:vMerge w:val="continue"/>
            <w:shd w:val="clear" w:color="auto" w:fill="FAF6EF"/>
          </w:tcPr>
          <w:p>
            <w:pPr>
              <w:spacing w:after="0"/>
              <w:rPr>
                <w:sz w:val="12"/>
                <w:szCs w:val="12"/>
                <w:color w:val="auto"/>
              </w:rPr>
            </w:pP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2,342,736</w:t>
            </w:r>
          </w:p>
        </w:tc>
        <w:tc>
          <w:tcPr>
            <w:tcW w:w="20" w:type="dxa"/>
            <w:vAlign w:val="bottom"/>
            <w:shd w:val="clear" w:color="auto" w:fill="7D7D7D"/>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7D7D7D"/>
            </w:tcBorders>
            <w:shd w:val="clear" w:color="auto" w:fill="FAF6EF"/>
          </w:tcPr>
          <w:p>
            <w:pPr>
              <w:spacing w:after="0"/>
              <w:rPr>
                <w:sz w:val="10"/>
                <w:szCs w:val="10"/>
                <w:color w:val="auto"/>
              </w:rPr>
            </w:pPr>
          </w:p>
        </w:tc>
        <w:tc>
          <w:tcPr>
            <w:tcW w:w="120" w:type="dxa"/>
            <w:vAlign w:val="bottom"/>
            <w:tcBorders>
              <w:right w:val="single" w:sz="8" w:color="7D7D7D"/>
            </w:tcBorders>
            <w:shd w:val="clear" w:color="auto" w:fill="FAF6EF"/>
          </w:tcPr>
          <w:p>
            <w:pPr>
              <w:spacing w:after="0"/>
              <w:rPr>
                <w:sz w:val="10"/>
                <w:szCs w:val="10"/>
                <w:color w:val="auto"/>
              </w:rPr>
            </w:pPr>
          </w:p>
        </w:tc>
        <w:tc>
          <w:tcPr>
            <w:tcW w:w="1020" w:type="dxa"/>
            <w:vAlign w:val="bottom"/>
            <w:vMerge w:val="continue"/>
            <w:shd w:val="clear" w:color="auto" w:fill="FAF6EF"/>
          </w:tcPr>
          <w:p>
            <w:pPr>
              <w:spacing w:after="0"/>
              <w:rPr>
                <w:sz w:val="10"/>
                <w:szCs w:val="10"/>
                <w:color w:val="auto"/>
              </w:rPr>
            </w:pPr>
          </w:p>
        </w:tc>
        <w:tc>
          <w:tcPr>
            <w:tcW w:w="120" w:type="dxa"/>
            <w:vAlign w:val="bottom"/>
            <w:tcBorders>
              <w:right w:val="single" w:sz="8" w:color="7D7D7D"/>
            </w:tcBorders>
            <w:shd w:val="clear" w:color="auto" w:fill="FAF6EF"/>
          </w:tcPr>
          <w:p>
            <w:pPr>
              <w:spacing w:after="0"/>
              <w:rPr>
                <w:sz w:val="10"/>
                <w:szCs w:val="10"/>
                <w:color w:val="auto"/>
              </w:rPr>
            </w:pPr>
          </w:p>
        </w:tc>
        <w:tc>
          <w:tcPr>
            <w:tcW w:w="780" w:type="dxa"/>
            <w:vAlign w:val="bottom"/>
            <w:vMerge w:val="continue"/>
            <w:shd w:val="clear" w:color="auto" w:fill="FAF6EF"/>
          </w:tcPr>
          <w:p>
            <w:pPr>
              <w:spacing w:after="0"/>
              <w:rPr>
                <w:sz w:val="10"/>
                <w:szCs w:val="10"/>
                <w:color w:val="auto"/>
              </w:rPr>
            </w:pPr>
          </w:p>
        </w:tc>
        <w:tc>
          <w:tcPr>
            <w:tcW w:w="340" w:type="dxa"/>
            <w:vAlign w:val="bottom"/>
            <w:tcBorders>
              <w:right w:val="single" w:sz="8" w:color="7D7D7D"/>
            </w:tcBorders>
            <w:shd w:val="clear" w:color="auto" w:fill="FAF6EF"/>
          </w:tcPr>
          <w:p>
            <w:pPr>
              <w:spacing w:after="0"/>
              <w:rPr>
                <w:sz w:val="10"/>
                <w:szCs w:val="10"/>
                <w:color w:val="auto"/>
              </w:rPr>
            </w:pPr>
          </w:p>
        </w:tc>
        <w:tc>
          <w:tcPr>
            <w:tcW w:w="1060" w:type="dxa"/>
            <w:vAlign w:val="bottom"/>
            <w:vMerge w:val="continue"/>
            <w:shd w:val="clear" w:color="auto" w:fill="FAF6EF"/>
          </w:tcPr>
          <w:p>
            <w:pPr>
              <w:spacing w:after="0"/>
              <w:rPr>
                <w:sz w:val="10"/>
                <w:szCs w:val="10"/>
                <w:color w:val="auto"/>
              </w:rPr>
            </w:pPr>
          </w:p>
        </w:tc>
        <w:tc>
          <w:tcPr>
            <w:tcW w:w="120" w:type="dxa"/>
            <w:vAlign w:val="bottom"/>
            <w:tcBorders>
              <w:right w:val="single" w:sz="8" w:color="7D7D7D"/>
            </w:tcBorders>
            <w:shd w:val="clear" w:color="auto" w:fill="FAF6EF"/>
          </w:tcPr>
          <w:p>
            <w:pPr>
              <w:spacing w:after="0"/>
              <w:rPr>
                <w:sz w:val="10"/>
                <w:szCs w:val="10"/>
                <w:color w:val="auto"/>
              </w:rPr>
            </w:pPr>
          </w:p>
        </w:tc>
        <w:tc>
          <w:tcPr>
            <w:tcW w:w="800" w:type="dxa"/>
            <w:vAlign w:val="bottom"/>
            <w:vMerge w:val="continue"/>
            <w:shd w:val="clear" w:color="auto" w:fill="FAF6EF"/>
          </w:tcPr>
          <w:p>
            <w:pPr>
              <w:spacing w:after="0"/>
              <w:rPr>
                <w:sz w:val="10"/>
                <w:szCs w:val="10"/>
                <w:color w:val="auto"/>
              </w:rPr>
            </w:pPr>
          </w:p>
        </w:tc>
        <w:tc>
          <w:tcPr>
            <w:tcW w:w="260" w:type="dxa"/>
            <w:vAlign w:val="bottom"/>
            <w:tcBorders>
              <w:right w:val="single" w:sz="8" w:color="7D7D7D"/>
            </w:tcBorders>
            <w:shd w:val="clear" w:color="auto" w:fill="FAF6EF"/>
          </w:tcPr>
          <w:p>
            <w:pPr>
              <w:spacing w:after="0"/>
              <w:rPr>
                <w:sz w:val="10"/>
                <w:szCs w:val="10"/>
                <w:color w:val="auto"/>
              </w:rPr>
            </w:pPr>
          </w:p>
        </w:tc>
        <w:tc>
          <w:tcPr>
            <w:tcW w:w="1160" w:type="dxa"/>
            <w:vAlign w:val="bottom"/>
            <w:tcBorders>
              <w:right w:val="single" w:sz="8" w:color="7D7D7D"/>
            </w:tcBorders>
            <w:vMerge w:val="continue"/>
            <w:shd w:val="clear" w:color="auto" w:fill="FAF6EF"/>
          </w:tcPr>
          <w:p>
            <w:pPr>
              <w:spacing w:after="0"/>
              <w:rPr>
                <w:sz w:val="10"/>
                <w:szCs w:val="10"/>
                <w:color w:val="auto"/>
              </w:rPr>
            </w:pPr>
          </w:p>
        </w:tc>
        <w:tc>
          <w:tcPr>
            <w:tcW w:w="1180" w:type="dxa"/>
            <w:vAlign w:val="bottom"/>
            <w:tcBorders>
              <w:right w:val="single" w:sz="8" w:color="7D7D7D"/>
            </w:tcBorders>
            <w:gridSpan w:val="2"/>
            <w:vMerge w:val="continue"/>
            <w:shd w:val="clear" w:color="auto" w:fill="FAF6EF"/>
          </w:tcPr>
          <w:p>
            <w:pPr>
              <w:spacing w:after="0"/>
              <w:rPr>
                <w:sz w:val="10"/>
                <w:szCs w:val="10"/>
                <w:color w:val="auto"/>
              </w:rPr>
            </w:pPr>
          </w:p>
        </w:tc>
        <w:tc>
          <w:tcPr>
            <w:tcW w:w="1040" w:type="dxa"/>
            <w:vAlign w:val="bottom"/>
            <w:vMerge w:val="continue"/>
            <w:shd w:val="clear" w:color="auto" w:fill="FAF6EF"/>
          </w:tcPr>
          <w:p>
            <w:pPr>
              <w:spacing w:after="0"/>
              <w:rPr>
                <w:sz w:val="10"/>
                <w:szCs w:val="10"/>
                <w:color w:val="auto"/>
              </w:rPr>
            </w:pPr>
          </w:p>
        </w:tc>
        <w:tc>
          <w:tcPr>
            <w:tcW w:w="540" w:type="dxa"/>
            <w:vAlign w:val="bottom"/>
            <w:tcBorders>
              <w:right w:val="single" w:sz="8" w:color="7D7D7D"/>
            </w:tcBorders>
            <w:vMerge w:val="restart"/>
            <w:shd w:val="clear" w:color="auto" w:fill="FAF6EF"/>
          </w:tcPr>
          <w:p>
            <w:pPr>
              <w:jc w:val="right"/>
              <w:ind w:right="309"/>
              <w:spacing w:after="0"/>
              <w:rPr>
                <w:sz w:val="20"/>
                <w:szCs w:val="20"/>
                <w:color w:val="auto"/>
              </w:rPr>
            </w:pPr>
            <w:r>
              <w:rPr>
                <w:rFonts w:ascii="Arial" w:cs="Arial" w:eastAsia="Arial" w:hAnsi="Arial"/>
                <w:sz w:val="10"/>
                <w:szCs w:val="10"/>
                <w:color w:val="auto"/>
              </w:rPr>
              <w:t>(5)</w:t>
            </w:r>
          </w:p>
        </w:tc>
        <w:tc>
          <w:tcPr>
            <w:tcW w:w="1040" w:type="dxa"/>
            <w:vAlign w:val="bottom"/>
            <w:vMerge w:val="continue"/>
            <w:shd w:val="clear" w:color="auto" w:fill="FAF6EF"/>
          </w:tcPr>
          <w:p>
            <w:pPr>
              <w:spacing w:after="0"/>
              <w:rPr>
                <w:sz w:val="10"/>
                <w:szCs w:val="10"/>
                <w:color w:val="auto"/>
              </w:rPr>
            </w:pP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Borders>
              <w:left w:val="single" w:sz="8" w:color="7D7D7D"/>
            </w:tcBorders>
            <w:shd w:val="clear" w:color="auto" w:fill="FAF6EF"/>
          </w:tcPr>
          <w:p>
            <w:pPr>
              <w:spacing w:after="0"/>
              <w:rPr>
                <w:sz w:val="10"/>
                <w:szCs w:val="10"/>
                <w:color w:val="auto"/>
              </w:rPr>
            </w:pPr>
          </w:p>
        </w:tc>
        <w:tc>
          <w:tcPr>
            <w:tcW w:w="120" w:type="dxa"/>
            <w:vAlign w:val="bottom"/>
            <w:tcBorders>
              <w:right w:val="single" w:sz="8" w:color="7D7D7D"/>
            </w:tcBorders>
            <w:shd w:val="clear" w:color="auto" w:fill="FAF6EF"/>
          </w:tcPr>
          <w:p>
            <w:pPr>
              <w:spacing w:after="0"/>
              <w:rPr>
                <w:sz w:val="10"/>
                <w:szCs w:val="10"/>
                <w:color w:val="auto"/>
              </w:rPr>
            </w:pPr>
          </w:p>
        </w:tc>
        <w:tc>
          <w:tcPr>
            <w:tcW w:w="10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7/21/2023</w:t>
            </w:r>
          </w:p>
        </w:tc>
        <w:tc>
          <w:tcPr>
            <w:tcW w:w="120" w:type="dxa"/>
            <w:vAlign w:val="bottom"/>
            <w:tcBorders>
              <w:right w:val="single" w:sz="8" w:color="7D7D7D"/>
            </w:tcBorders>
            <w:shd w:val="clear" w:color="auto" w:fill="FAF6EF"/>
          </w:tcPr>
          <w:p>
            <w:pPr>
              <w:spacing w:after="0"/>
              <w:rPr>
                <w:sz w:val="10"/>
                <w:szCs w:val="10"/>
                <w:color w:val="auto"/>
              </w:rPr>
            </w:pPr>
          </w:p>
        </w:tc>
        <w:tc>
          <w:tcPr>
            <w:tcW w:w="780" w:type="dxa"/>
            <w:vAlign w:val="bottom"/>
            <w:vMerge w:val="restart"/>
            <w:shd w:val="clear" w:color="auto" w:fill="FAF6EF"/>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shd w:val="clear" w:color="auto" w:fill="FAF6EF"/>
          </w:tcPr>
          <w:p>
            <w:pPr>
              <w:spacing w:after="0"/>
              <w:rPr>
                <w:sz w:val="10"/>
                <w:szCs w:val="10"/>
                <w:color w:val="auto"/>
              </w:rPr>
            </w:pP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shd w:val="clear" w:color="auto" w:fill="FAF6EF"/>
          </w:tcPr>
          <w:p>
            <w:pPr>
              <w:spacing w:after="0"/>
              <w:rPr>
                <w:sz w:val="10"/>
                <w:szCs w:val="10"/>
                <w:color w:val="auto"/>
              </w:rPr>
            </w:pPr>
          </w:p>
        </w:tc>
        <w:tc>
          <w:tcPr>
            <w:tcW w:w="800" w:type="dxa"/>
            <w:vAlign w:val="bottom"/>
            <w:vMerge w:val="restart"/>
            <w:shd w:val="clear" w:color="auto" w:fill="FAF6EF"/>
          </w:tcPr>
          <w:p>
            <w:pPr>
              <w:jc w:val="center"/>
              <w:ind w:left="42"/>
              <w:spacing w:after="0"/>
              <w:rPr>
                <w:sz w:val="20"/>
                <w:szCs w:val="20"/>
                <w:color w:val="auto"/>
              </w:rPr>
            </w:pPr>
            <w:r>
              <w:rPr>
                <w:rFonts w:ascii="Arial" w:cs="Arial" w:eastAsia="Arial" w:hAnsi="Arial"/>
                <w:sz w:val="16"/>
                <w:szCs w:val="16"/>
                <w:color w:val="auto"/>
                <w:w w:val="99"/>
              </w:rPr>
              <w:t>6,600</w:t>
            </w:r>
          </w:p>
        </w:tc>
        <w:tc>
          <w:tcPr>
            <w:tcW w:w="260" w:type="dxa"/>
            <w:vAlign w:val="bottom"/>
            <w:tcBorders>
              <w:right w:val="single" w:sz="8" w:color="7D7D7D"/>
            </w:tcBorders>
            <w:shd w:val="clear" w:color="auto" w:fill="FAF6EF"/>
          </w:tcPr>
          <w:p>
            <w:pPr>
              <w:spacing w:after="0"/>
              <w:rPr>
                <w:sz w:val="10"/>
                <w:szCs w:val="10"/>
                <w:color w:val="auto"/>
              </w:rPr>
            </w:pPr>
          </w:p>
        </w:tc>
        <w:tc>
          <w:tcPr>
            <w:tcW w:w="1160" w:type="dxa"/>
            <w:vAlign w:val="bottom"/>
            <w:tcBorders>
              <w:right w:val="single" w:sz="8" w:color="7D7D7D"/>
            </w:tcBorders>
            <w:vMerge w:val="restart"/>
            <w:shd w:val="clear" w:color="auto" w:fill="FAF6EF"/>
          </w:tcPr>
          <w:p>
            <w:pPr>
              <w:jc w:val="center"/>
              <w:ind w:right="82"/>
              <w:spacing w:after="0"/>
              <w:rPr>
                <w:sz w:val="20"/>
                <w:szCs w:val="20"/>
                <w:color w:val="auto"/>
              </w:rPr>
            </w:pPr>
            <w:r>
              <w:rPr>
                <w:rFonts w:ascii="Arial" w:cs="Arial" w:eastAsia="Arial" w:hAnsi="Arial"/>
                <w:sz w:val="16"/>
                <w:szCs w:val="16"/>
                <w:color w:val="auto"/>
                <w:w w:val="98"/>
              </w:rPr>
              <w:t>13,200</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19,800</w:t>
            </w:r>
          </w:p>
        </w:tc>
        <w:tc>
          <w:tcPr>
            <w:tcW w:w="140" w:type="dxa"/>
            <w:vAlign w:val="bottom"/>
            <w:tcBorders>
              <w:right w:val="single" w:sz="8" w:color="7D7D7D"/>
            </w:tcBorders>
            <w:shd w:val="clear" w:color="auto" w:fill="FAF6EF"/>
          </w:tcPr>
          <w:p>
            <w:pPr>
              <w:spacing w:after="0"/>
              <w:rPr>
                <w:sz w:val="10"/>
                <w:szCs w:val="10"/>
                <w:color w:val="auto"/>
              </w:rPr>
            </w:pPr>
          </w:p>
        </w:tc>
        <w:tc>
          <w:tcPr>
            <w:tcW w:w="1040" w:type="dxa"/>
            <w:vAlign w:val="bottom"/>
            <w:vMerge w:val="restart"/>
            <w:shd w:val="clear" w:color="auto" w:fill="FAF6EF"/>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right w:val="single" w:sz="8" w:color="7D7D7D"/>
            </w:tcBorders>
            <w:vMerge w:val="continue"/>
            <w:shd w:val="clear" w:color="auto" w:fill="FAF6EF"/>
          </w:tcPr>
          <w:p>
            <w:pPr>
              <w:spacing w:after="0"/>
              <w:rPr>
                <w:sz w:val="10"/>
                <w:szCs w:val="10"/>
                <w:color w:val="auto"/>
              </w:rPr>
            </w:pP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2,342,736</w:t>
            </w: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tcBorders>
              <w:left w:val="single" w:sz="8" w:color="7D7D7D"/>
            </w:tcBorders>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102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780" w:type="dxa"/>
            <w:vAlign w:val="bottom"/>
            <w:vMerge w:val="continue"/>
            <w:shd w:val="clear" w:color="auto" w:fill="FAF6EF"/>
          </w:tcPr>
          <w:p>
            <w:pPr>
              <w:spacing w:after="0"/>
              <w:rPr>
                <w:sz w:val="11"/>
                <w:szCs w:val="11"/>
                <w:color w:val="auto"/>
              </w:rPr>
            </w:pPr>
          </w:p>
        </w:tc>
        <w:tc>
          <w:tcPr>
            <w:tcW w:w="340" w:type="dxa"/>
            <w:vAlign w:val="bottom"/>
            <w:tcBorders>
              <w:right w:val="single" w:sz="8" w:color="7D7D7D"/>
            </w:tcBorders>
            <w:shd w:val="clear" w:color="auto" w:fill="FAF6EF"/>
          </w:tcPr>
          <w:p>
            <w:pPr>
              <w:spacing w:after="0"/>
              <w:rPr>
                <w:sz w:val="11"/>
                <w:szCs w:val="11"/>
                <w:color w:val="auto"/>
              </w:rPr>
            </w:pPr>
          </w:p>
        </w:tc>
        <w:tc>
          <w:tcPr>
            <w:tcW w:w="106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800" w:type="dxa"/>
            <w:vAlign w:val="bottom"/>
            <w:vMerge w:val="continue"/>
            <w:shd w:val="clear" w:color="auto" w:fill="FAF6EF"/>
          </w:tcPr>
          <w:p>
            <w:pPr>
              <w:spacing w:after="0"/>
              <w:rPr>
                <w:sz w:val="11"/>
                <w:szCs w:val="11"/>
                <w:color w:val="auto"/>
              </w:rPr>
            </w:pPr>
          </w:p>
        </w:tc>
        <w:tc>
          <w:tcPr>
            <w:tcW w:w="260" w:type="dxa"/>
            <w:vAlign w:val="bottom"/>
            <w:tcBorders>
              <w:right w:val="single" w:sz="8" w:color="7D7D7D"/>
            </w:tcBorders>
            <w:shd w:val="clear" w:color="auto" w:fill="FAF6EF"/>
          </w:tcPr>
          <w:p>
            <w:pPr>
              <w:spacing w:after="0"/>
              <w:rPr>
                <w:sz w:val="11"/>
                <w:szCs w:val="11"/>
                <w:color w:val="auto"/>
              </w:rPr>
            </w:pPr>
          </w:p>
        </w:tc>
        <w:tc>
          <w:tcPr>
            <w:tcW w:w="1160" w:type="dxa"/>
            <w:vAlign w:val="bottom"/>
            <w:tcBorders>
              <w:right w:val="single" w:sz="8" w:color="7D7D7D"/>
            </w:tcBorders>
            <w:vMerge w:val="continue"/>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140" w:type="dxa"/>
            <w:vAlign w:val="bottom"/>
            <w:tcBorders>
              <w:right w:val="single" w:sz="8" w:color="7D7D7D"/>
            </w:tcBorders>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540" w:type="dxa"/>
            <w:vAlign w:val="bottom"/>
            <w:tcBorders>
              <w:right w:val="single" w:sz="8" w:color="7D7D7D"/>
            </w:tcBorders>
            <w:vMerge w:val="restart"/>
            <w:shd w:val="clear" w:color="auto" w:fill="FAF6EF"/>
          </w:tcPr>
          <w:p>
            <w:pPr>
              <w:jc w:val="right"/>
              <w:ind w:right="309"/>
              <w:spacing w:after="0"/>
              <w:rPr>
                <w:sz w:val="20"/>
                <w:szCs w:val="20"/>
                <w:color w:val="auto"/>
              </w:rPr>
            </w:pPr>
            <w:r>
              <w:rPr>
                <w:rFonts w:ascii="Arial" w:cs="Arial" w:eastAsia="Arial" w:hAnsi="Arial"/>
                <w:sz w:val="10"/>
                <w:szCs w:val="10"/>
                <w:color w:val="auto"/>
              </w:rPr>
              <w:t>(6)</w:t>
            </w:r>
          </w:p>
        </w:tc>
        <w:tc>
          <w:tcPr>
            <w:tcW w:w="1040" w:type="dxa"/>
            <w:vAlign w:val="bottom"/>
            <w:vMerge w:val="continue"/>
            <w:shd w:val="clear" w:color="auto" w:fill="FAF6EF"/>
          </w:tcPr>
          <w:p>
            <w:pPr>
              <w:spacing w:after="0"/>
              <w:rPr>
                <w:sz w:val="11"/>
                <w:szCs w:val="11"/>
                <w:color w:val="auto"/>
              </w:rPr>
            </w:pP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60" w:type="dxa"/>
            <w:vAlign w:val="bottom"/>
            <w:tcBorders>
              <w:left w:val="single" w:sz="8" w:color="7D7D7D"/>
            </w:tcBorders>
            <w:shd w:val="clear" w:color="auto" w:fill="FAF6EF"/>
          </w:tcPr>
          <w:p>
            <w:pPr>
              <w:spacing w:after="0"/>
              <w:rPr>
                <w:sz w:val="10"/>
                <w:szCs w:val="10"/>
                <w:color w:val="auto"/>
              </w:rPr>
            </w:pPr>
          </w:p>
        </w:tc>
        <w:tc>
          <w:tcPr>
            <w:tcW w:w="120" w:type="dxa"/>
            <w:vAlign w:val="bottom"/>
            <w:tcBorders>
              <w:right w:val="single" w:sz="8" w:color="7D7D7D"/>
            </w:tcBorders>
            <w:shd w:val="clear" w:color="auto" w:fill="FAF6EF"/>
          </w:tcPr>
          <w:p>
            <w:pPr>
              <w:spacing w:after="0"/>
              <w:rPr>
                <w:sz w:val="10"/>
                <w:szCs w:val="10"/>
                <w:color w:val="auto"/>
              </w:rPr>
            </w:pPr>
          </w:p>
        </w:tc>
        <w:tc>
          <w:tcPr>
            <w:tcW w:w="10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7/21/2023</w:t>
            </w:r>
          </w:p>
        </w:tc>
        <w:tc>
          <w:tcPr>
            <w:tcW w:w="120" w:type="dxa"/>
            <w:vAlign w:val="bottom"/>
            <w:tcBorders>
              <w:right w:val="single" w:sz="8" w:color="7D7D7D"/>
            </w:tcBorders>
            <w:shd w:val="clear" w:color="auto" w:fill="FAF6EF"/>
          </w:tcPr>
          <w:p>
            <w:pPr>
              <w:spacing w:after="0"/>
              <w:rPr>
                <w:sz w:val="10"/>
                <w:szCs w:val="10"/>
                <w:color w:val="auto"/>
              </w:rPr>
            </w:pPr>
          </w:p>
        </w:tc>
        <w:tc>
          <w:tcPr>
            <w:tcW w:w="780" w:type="dxa"/>
            <w:vAlign w:val="bottom"/>
            <w:vMerge w:val="restart"/>
            <w:shd w:val="clear" w:color="auto" w:fill="FAF6EF"/>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shd w:val="clear" w:color="auto" w:fill="FAF6EF"/>
          </w:tcPr>
          <w:p>
            <w:pPr>
              <w:spacing w:after="0"/>
              <w:rPr>
                <w:sz w:val="10"/>
                <w:szCs w:val="10"/>
                <w:color w:val="auto"/>
              </w:rPr>
            </w:pPr>
          </w:p>
        </w:tc>
        <w:tc>
          <w:tcPr>
            <w:tcW w:w="106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shd w:val="clear" w:color="auto" w:fill="FAF6EF"/>
          </w:tcPr>
          <w:p>
            <w:pPr>
              <w:spacing w:after="0"/>
              <w:rPr>
                <w:sz w:val="10"/>
                <w:szCs w:val="10"/>
                <w:color w:val="auto"/>
              </w:rPr>
            </w:pPr>
          </w:p>
        </w:tc>
        <w:tc>
          <w:tcPr>
            <w:tcW w:w="800" w:type="dxa"/>
            <w:vAlign w:val="bottom"/>
            <w:vMerge w:val="restart"/>
            <w:shd w:val="clear" w:color="auto" w:fill="FAF6EF"/>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shd w:val="clear" w:color="auto" w:fill="FAF6EF"/>
          </w:tcPr>
          <w:p>
            <w:pPr>
              <w:spacing w:after="0"/>
              <w:rPr>
                <w:sz w:val="10"/>
                <w:szCs w:val="10"/>
                <w:color w:val="auto"/>
              </w:rPr>
            </w:pPr>
          </w:p>
        </w:tc>
        <w:tc>
          <w:tcPr>
            <w:tcW w:w="1160" w:type="dxa"/>
            <w:vAlign w:val="bottom"/>
            <w:tcBorders>
              <w:right w:val="single" w:sz="8" w:color="7D7D7D"/>
            </w:tcBorders>
            <w:vMerge w:val="restart"/>
            <w:shd w:val="clear" w:color="auto" w:fill="FAF6EF"/>
          </w:tcPr>
          <w:p>
            <w:pPr>
              <w:jc w:val="center"/>
              <w:ind w:right="82"/>
              <w:spacing w:after="0"/>
              <w:rPr>
                <w:sz w:val="20"/>
                <w:szCs w:val="20"/>
                <w:color w:val="auto"/>
              </w:rPr>
            </w:pPr>
            <w:r>
              <w:rPr>
                <w:rFonts w:ascii="Arial" w:cs="Arial" w:eastAsia="Arial" w:hAnsi="Arial"/>
                <w:sz w:val="16"/>
                <w:szCs w:val="16"/>
                <w:color w:val="auto"/>
                <w:w w:val="98"/>
              </w:rPr>
              <w:t>13,600</w:t>
            </w: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27,200</w:t>
            </w:r>
          </w:p>
        </w:tc>
        <w:tc>
          <w:tcPr>
            <w:tcW w:w="140" w:type="dxa"/>
            <w:vAlign w:val="bottom"/>
            <w:tcBorders>
              <w:right w:val="single" w:sz="8" w:color="7D7D7D"/>
            </w:tcBorders>
            <w:shd w:val="clear" w:color="auto" w:fill="FAF6EF"/>
          </w:tcPr>
          <w:p>
            <w:pPr>
              <w:spacing w:after="0"/>
              <w:rPr>
                <w:sz w:val="10"/>
                <w:szCs w:val="10"/>
                <w:color w:val="auto"/>
              </w:rPr>
            </w:pPr>
          </w:p>
        </w:tc>
        <w:tc>
          <w:tcPr>
            <w:tcW w:w="1040" w:type="dxa"/>
            <w:vAlign w:val="bottom"/>
            <w:vMerge w:val="restart"/>
            <w:shd w:val="clear" w:color="auto" w:fill="FAF6EF"/>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right w:val="single" w:sz="8" w:color="7D7D7D"/>
            </w:tcBorders>
            <w:vMerge w:val="continue"/>
            <w:shd w:val="clear" w:color="auto" w:fill="FAF6EF"/>
          </w:tcPr>
          <w:p>
            <w:pPr>
              <w:spacing w:after="0"/>
              <w:rPr>
                <w:sz w:val="10"/>
                <w:szCs w:val="10"/>
                <w:color w:val="auto"/>
              </w:rPr>
            </w:pPr>
          </w:p>
        </w:tc>
        <w:tc>
          <w:tcPr>
            <w:tcW w:w="10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2,229,448</w:t>
            </w: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60" w:type="dxa"/>
            <w:vAlign w:val="bottom"/>
            <w:tcBorders>
              <w:left w:val="single" w:sz="8" w:color="7D7D7D"/>
            </w:tcBorders>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102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780" w:type="dxa"/>
            <w:vAlign w:val="bottom"/>
            <w:vMerge w:val="continue"/>
            <w:shd w:val="clear" w:color="auto" w:fill="FAF6EF"/>
          </w:tcPr>
          <w:p>
            <w:pPr>
              <w:spacing w:after="0"/>
              <w:rPr>
                <w:sz w:val="11"/>
                <w:szCs w:val="11"/>
                <w:color w:val="auto"/>
              </w:rPr>
            </w:pPr>
          </w:p>
        </w:tc>
        <w:tc>
          <w:tcPr>
            <w:tcW w:w="340" w:type="dxa"/>
            <w:vAlign w:val="bottom"/>
            <w:tcBorders>
              <w:right w:val="single" w:sz="8" w:color="7D7D7D"/>
            </w:tcBorders>
            <w:shd w:val="clear" w:color="auto" w:fill="FAF6EF"/>
          </w:tcPr>
          <w:p>
            <w:pPr>
              <w:spacing w:after="0"/>
              <w:rPr>
                <w:sz w:val="11"/>
                <w:szCs w:val="11"/>
                <w:color w:val="auto"/>
              </w:rPr>
            </w:pPr>
          </w:p>
        </w:tc>
        <w:tc>
          <w:tcPr>
            <w:tcW w:w="1060" w:type="dxa"/>
            <w:vAlign w:val="bottom"/>
            <w:vMerge w:val="continue"/>
            <w:shd w:val="clear" w:color="auto" w:fill="FAF6EF"/>
          </w:tcPr>
          <w:p>
            <w:pPr>
              <w:spacing w:after="0"/>
              <w:rPr>
                <w:sz w:val="11"/>
                <w:szCs w:val="11"/>
                <w:color w:val="auto"/>
              </w:rPr>
            </w:pPr>
          </w:p>
        </w:tc>
        <w:tc>
          <w:tcPr>
            <w:tcW w:w="120" w:type="dxa"/>
            <w:vAlign w:val="bottom"/>
            <w:tcBorders>
              <w:right w:val="single" w:sz="8" w:color="7D7D7D"/>
            </w:tcBorders>
            <w:shd w:val="clear" w:color="auto" w:fill="FAF6EF"/>
          </w:tcPr>
          <w:p>
            <w:pPr>
              <w:spacing w:after="0"/>
              <w:rPr>
                <w:sz w:val="11"/>
                <w:szCs w:val="11"/>
                <w:color w:val="auto"/>
              </w:rPr>
            </w:pPr>
          </w:p>
        </w:tc>
        <w:tc>
          <w:tcPr>
            <w:tcW w:w="800" w:type="dxa"/>
            <w:vAlign w:val="bottom"/>
            <w:vMerge w:val="continue"/>
            <w:shd w:val="clear" w:color="auto" w:fill="FAF6EF"/>
          </w:tcPr>
          <w:p>
            <w:pPr>
              <w:spacing w:after="0"/>
              <w:rPr>
                <w:sz w:val="11"/>
                <w:szCs w:val="11"/>
                <w:color w:val="auto"/>
              </w:rPr>
            </w:pPr>
          </w:p>
        </w:tc>
        <w:tc>
          <w:tcPr>
            <w:tcW w:w="260" w:type="dxa"/>
            <w:vAlign w:val="bottom"/>
            <w:tcBorders>
              <w:right w:val="single" w:sz="8" w:color="7D7D7D"/>
            </w:tcBorders>
            <w:shd w:val="clear" w:color="auto" w:fill="FAF6EF"/>
          </w:tcPr>
          <w:p>
            <w:pPr>
              <w:spacing w:after="0"/>
              <w:rPr>
                <w:sz w:val="11"/>
                <w:szCs w:val="11"/>
                <w:color w:val="auto"/>
              </w:rPr>
            </w:pPr>
          </w:p>
        </w:tc>
        <w:tc>
          <w:tcPr>
            <w:tcW w:w="1160" w:type="dxa"/>
            <w:vAlign w:val="bottom"/>
            <w:tcBorders>
              <w:right w:val="single" w:sz="8" w:color="7D7D7D"/>
            </w:tcBorders>
            <w:vMerge w:val="continue"/>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140" w:type="dxa"/>
            <w:vAlign w:val="bottom"/>
            <w:tcBorders>
              <w:right w:val="single" w:sz="8" w:color="7D7D7D"/>
            </w:tcBorders>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540" w:type="dxa"/>
            <w:vAlign w:val="bottom"/>
            <w:tcBorders>
              <w:right w:val="single" w:sz="8" w:color="7D7D7D"/>
            </w:tcBorders>
            <w:shd w:val="clear" w:color="auto" w:fill="FAF6EF"/>
          </w:tcPr>
          <w:p>
            <w:pPr>
              <w:spacing w:after="0"/>
              <w:rPr>
                <w:sz w:val="11"/>
                <w:szCs w:val="11"/>
                <w:color w:val="auto"/>
              </w:rPr>
            </w:pPr>
          </w:p>
        </w:tc>
        <w:tc>
          <w:tcPr>
            <w:tcW w:w="1040" w:type="dxa"/>
            <w:vAlign w:val="bottom"/>
            <w:vMerge w:val="continue"/>
            <w:shd w:val="clear" w:color="auto" w:fill="FAF6EF"/>
          </w:tcPr>
          <w:p>
            <w:pPr>
              <w:spacing w:after="0"/>
              <w:rPr>
                <w:sz w:val="11"/>
                <w:szCs w:val="11"/>
                <w:color w:val="auto"/>
              </w:rPr>
            </w:pP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660" w:type="dxa"/>
            <w:vAlign w:val="bottom"/>
            <w:tcBorders>
              <w:left w:val="single" w:sz="8" w:color="7D7D7D"/>
              <w:bottom w:val="single" w:sz="8" w:color="FAF6EF"/>
            </w:tcBorders>
            <w:shd w:val="clear" w:color="auto" w:fill="FAF6EF"/>
          </w:tcPr>
          <w:p>
            <w:pPr>
              <w:spacing w:after="0"/>
              <w:rPr>
                <w:sz w:val="23"/>
                <w:szCs w:val="23"/>
                <w:color w:val="auto"/>
              </w:rPr>
            </w:pPr>
          </w:p>
        </w:tc>
        <w:tc>
          <w:tcPr>
            <w:tcW w:w="120" w:type="dxa"/>
            <w:vAlign w:val="bottom"/>
            <w:tcBorders>
              <w:bottom w:val="single" w:sz="8" w:color="FAF6EF"/>
              <w:right w:val="single" w:sz="8" w:color="7D7D7D"/>
            </w:tcBorders>
            <w:shd w:val="clear" w:color="auto" w:fill="FAF6EF"/>
          </w:tcPr>
          <w:p>
            <w:pPr>
              <w:spacing w:after="0"/>
              <w:rPr>
                <w:sz w:val="23"/>
                <w:szCs w:val="23"/>
                <w:color w:val="auto"/>
              </w:rPr>
            </w:pPr>
          </w:p>
        </w:tc>
        <w:tc>
          <w:tcPr>
            <w:tcW w:w="1020" w:type="dxa"/>
            <w:vAlign w:val="bottom"/>
            <w:tcBorders>
              <w:bottom w:val="single" w:sz="8" w:color="FAF6EF"/>
            </w:tcBorders>
            <w:shd w:val="clear" w:color="auto" w:fill="FAF6EF"/>
          </w:tcPr>
          <w:p>
            <w:pPr>
              <w:spacing w:after="0"/>
              <w:rPr>
                <w:sz w:val="23"/>
                <w:szCs w:val="23"/>
                <w:color w:val="auto"/>
              </w:rPr>
            </w:pPr>
          </w:p>
        </w:tc>
        <w:tc>
          <w:tcPr>
            <w:tcW w:w="120" w:type="dxa"/>
            <w:vAlign w:val="bottom"/>
            <w:tcBorders>
              <w:bottom w:val="single" w:sz="8" w:color="FAF6EF"/>
              <w:right w:val="single" w:sz="8" w:color="7D7D7D"/>
            </w:tcBorders>
            <w:shd w:val="clear" w:color="auto" w:fill="FAF6EF"/>
          </w:tcPr>
          <w:p>
            <w:pPr>
              <w:spacing w:after="0"/>
              <w:rPr>
                <w:sz w:val="23"/>
                <w:szCs w:val="23"/>
                <w:color w:val="auto"/>
              </w:rPr>
            </w:pPr>
          </w:p>
        </w:tc>
        <w:tc>
          <w:tcPr>
            <w:tcW w:w="780" w:type="dxa"/>
            <w:vAlign w:val="bottom"/>
            <w:tcBorders>
              <w:bottom w:val="single" w:sz="8" w:color="FAF6EF"/>
            </w:tcBorders>
            <w:shd w:val="clear" w:color="auto" w:fill="FAF6EF"/>
          </w:tcPr>
          <w:p>
            <w:pPr>
              <w:jc w:val="center"/>
              <w:ind w:left="143"/>
              <w:spacing w:after="0"/>
              <w:rPr>
                <w:sz w:val="20"/>
                <w:szCs w:val="20"/>
                <w:color w:val="auto"/>
              </w:rPr>
            </w:pPr>
            <w:r>
              <w:rPr>
                <w:rFonts w:ascii="Arial" w:cs="Arial" w:eastAsia="Arial" w:hAnsi="Arial"/>
                <w:sz w:val="16"/>
                <w:szCs w:val="16"/>
                <w:color w:val="auto"/>
                <w:w w:val="96"/>
              </w:rPr>
              <w:t>300,000</w:t>
            </w:r>
          </w:p>
        </w:tc>
        <w:tc>
          <w:tcPr>
            <w:tcW w:w="340" w:type="dxa"/>
            <w:vAlign w:val="bottom"/>
            <w:tcBorders>
              <w:bottom w:val="single" w:sz="8" w:color="FAF6EF"/>
              <w:right w:val="single" w:sz="8" w:color="7D7D7D"/>
            </w:tcBorders>
            <w:shd w:val="clear" w:color="auto" w:fill="FAF6EF"/>
          </w:tcPr>
          <w:p>
            <w:pPr>
              <w:spacing w:after="0"/>
              <w:rPr>
                <w:sz w:val="23"/>
                <w:szCs w:val="23"/>
                <w:color w:val="auto"/>
              </w:rPr>
            </w:pPr>
          </w:p>
        </w:tc>
        <w:tc>
          <w:tcPr>
            <w:tcW w:w="106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96"/>
              </w:rPr>
              <w:t>540,000</w:t>
            </w:r>
          </w:p>
        </w:tc>
        <w:tc>
          <w:tcPr>
            <w:tcW w:w="120" w:type="dxa"/>
            <w:vAlign w:val="bottom"/>
            <w:tcBorders>
              <w:bottom w:val="single" w:sz="8" w:color="FAF6EF"/>
              <w:right w:val="single" w:sz="8" w:color="7D7D7D"/>
            </w:tcBorders>
            <w:shd w:val="clear" w:color="auto" w:fill="FAF6EF"/>
          </w:tcPr>
          <w:p>
            <w:pPr>
              <w:spacing w:after="0"/>
              <w:rPr>
                <w:sz w:val="23"/>
                <w:szCs w:val="23"/>
                <w:color w:val="auto"/>
              </w:rPr>
            </w:pPr>
          </w:p>
        </w:tc>
        <w:tc>
          <w:tcPr>
            <w:tcW w:w="800" w:type="dxa"/>
            <w:vAlign w:val="bottom"/>
            <w:tcBorders>
              <w:bottom w:val="single" w:sz="8" w:color="FAF6EF"/>
            </w:tcBorders>
            <w:shd w:val="clear" w:color="auto" w:fill="FAF6EF"/>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FAF6EF"/>
              <w:right w:val="single" w:sz="8" w:color="7D7D7D"/>
            </w:tcBorders>
            <w:shd w:val="clear" w:color="auto" w:fill="FAF6EF"/>
          </w:tcPr>
          <w:p>
            <w:pPr>
              <w:spacing w:after="0"/>
              <w:rPr>
                <w:sz w:val="23"/>
                <w:szCs w:val="23"/>
                <w:color w:val="auto"/>
              </w:rPr>
            </w:pPr>
          </w:p>
        </w:tc>
        <w:tc>
          <w:tcPr>
            <w:tcW w:w="1160" w:type="dxa"/>
            <w:vAlign w:val="bottom"/>
            <w:tcBorders>
              <w:bottom w:val="single" w:sz="8" w:color="FAF6EF"/>
              <w:right w:val="single" w:sz="8" w:color="7D7D7D"/>
            </w:tcBorders>
            <w:shd w:val="clear" w:color="auto" w:fill="FAF6EF"/>
          </w:tcPr>
          <w:p>
            <w:pPr>
              <w:jc w:val="center"/>
              <w:ind w:right="82"/>
              <w:spacing w:after="0"/>
              <w:rPr>
                <w:sz w:val="20"/>
                <w:szCs w:val="20"/>
                <w:color w:val="auto"/>
              </w:rPr>
            </w:pPr>
            <w:r>
              <w:rPr>
                <w:rFonts w:ascii="Arial" w:cs="Arial" w:eastAsia="Arial" w:hAnsi="Arial"/>
                <w:sz w:val="16"/>
                <w:szCs w:val="16"/>
                <w:color w:val="auto"/>
                <w:w w:val="99"/>
              </w:rPr>
              <w:t>—</w:t>
            </w:r>
          </w:p>
        </w:tc>
        <w:tc>
          <w:tcPr>
            <w:tcW w:w="1180" w:type="dxa"/>
            <w:vAlign w:val="bottom"/>
            <w:tcBorders>
              <w:bottom w:val="single" w:sz="8" w:color="FAF6EF"/>
              <w:right w:val="single" w:sz="8" w:color="7D7D7D"/>
            </w:tcBorders>
            <w:gridSpan w:val="2"/>
            <w:shd w:val="clear" w:color="auto" w:fill="FAF6EF"/>
          </w:tcPr>
          <w:p>
            <w:pPr>
              <w:jc w:val="center"/>
              <w:ind w:right="140"/>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FAF6EF"/>
            </w:tcBorders>
            <w:shd w:val="clear" w:color="auto" w:fill="FAF6EF"/>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bottom w:val="single" w:sz="8" w:color="FAF6EF"/>
              <w:right w:val="single" w:sz="8" w:color="7D7D7D"/>
            </w:tcBorders>
            <w:shd w:val="clear" w:color="auto" w:fill="FAF6EF"/>
          </w:tcPr>
          <w:p>
            <w:pPr>
              <w:spacing w:after="0"/>
              <w:rPr>
                <w:sz w:val="23"/>
                <w:szCs w:val="23"/>
                <w:color w:val="auto"/>
              </w:rPr>
            </w:pPr>
          </w:p>
        </w:tc>
        <w:tc>
          <w:tcPr>
            <w:tcW w:w="104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Borders>
              <w:bottom w:val="single" w:sz="8" w:color="7D7D7D"/>
            </w:tcBorders>
            <w:shd w:val="clear" w:color="auto" w:fill="7D7D7D"/>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1660" w:type="dxa"/>
            <w:vAlign w:val="bottom"/>
            <w:tcBorders>
              <w:left w:val="single" w:sz="8" w:color="7D7D7D"/>
            </w:tcBorders>
          </w:tcPr>
          <w:p>
            <w:pPr>
              <w:spacing w:after="0"/>
              <w:rPr>
                <w:sz w:val="11"/>
                <w:szCs w:val="11"/>
                <w:color w:val="auto"/>
              </w:rPr>
            </w:pPr>
          </w:p>
        </w:tc>
        <w:tc>
          <w:tcPr>
            <w:tcW w:w="120" w:type="dxa"/>
            <w:vAlign w:val="bottom"/>
            <w:tcBorders>
              <w:right w:val="single" w:sz="8" w:color="7D7D7D"/>
            </w:tcBorders>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8"/>
              </w:rPr>
              <w:t>4/21/2023</w:t>
            </w:r>
          </w:p>
        </w:tc>
        <w:tc>
          <w:tcPr>
            <w:tcW w:w="120" w:type="dxa"/>
            <w:vAlign w:val="bottom"/>
            <w:tcBorders>
              <w:right w:val="single" w:sz="8" w:color="7D7D7D"/>
            </w:tcBorders>
          </w:tcPr>
          <w:p>
            <w:pPr>
              <w:spacing w:after="0"/>
              <w:rPr>
                <w:sz w:val="11"/>
                <w:szCs w:val="11"/>
                <w:color w:val="auto"/>
              </w:rPr>
            </w:pPr>
          </w:p>
        </w:tc>
        <w:tc>
          <w:tcPr>
            <w:tcW w:w="780" w:type="dxa"/>
            <w:vAlign w:val="bottom"/>
            <w:vMerge w:val="restart"/>
          </w:tcPr>
          <w:p>
            <w:pPr>
              <w:jc w:val="center"/>
              <w:ind w:left="143"/>
              <w:spacing w:after="0"/>
              <w:rPr>
                <w:sz w:val="20"/>
                <w:szCs w:val="20"/>
                <w:color w:val="auto"/>
              </w:rPr>
            </w:pPr>
            <w:r>
              <w:rPr>
                <w:rFonts w:ascii="Arial" w:cs="Arial" w:eastAsia="Arial" w:hAnsi="Arial"/>
                <w:sz w:val="16"/>
                <w:szCs w:val="16"/>
                <w:color w:val="auto"/>
                <w:w w:val="99"/>
              </w:rPr>
              <w:t>—</w:t>
            </w:r>
          </w:p>
        </w:tc>
        <w:tc>
          <w:tcPr>
            <w:tcW w:w="340" w:type="dxa"/>
            <w:vAlign w:val="bottom"/>
            <w:tcBorders>
              <w:right w:val="single" w:sz="8" w:color="7D7D7D"/>
            </w:tcBorders>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right w:val="single" w:sz="8" w:color="7D7D7D"/>
            </w:tcBorders>
          </w:tcPr>
          <w:p>
            <w:pPr>
              <w:spacing w:after="0"/>
              <w:rPr>
                <w:sz w:val="11"/>
                <w:szCs w:val="11"/>
                <w:color w:val="auto"/>
              </w:rPr>
            </w:pPr>
          </w:p>
        </w:tc>
        <w:tc>
          <w:tcPr>
            <w:tcW w:w="800" w:type="dxa"/>
            <w:vAlign w:val="bottom"/>
            <w:vMerge w:val="restart"/>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tcPr>
          <w:p>
            <w:pPr>
              <w:spacing w:after="0"/>
              <w:rPr>
                <w:sz w:val="11"/>
                <w:szCs w:val="11"/>
                <w:color w:val="auto"/>
              </w:rPr>
            </w:pPr>
          </w:p>
        </w:tc>
        <w:tc>
          <w:tcPr>
            <w:tcW w:w="1160" w:type="dxa"/>
            <w:vAlign w:val="bottom"/>
            <w:tcBorders>
              <w:right w:val="single" w:sz="8" w:color="7D7D7D"/>
            </w:tcBorders>
            <w:vMerge w:val="restart"/>
          </w:tcPr>
          <w:p>
            <w:pPr>
              <w:jc w:val="center"/>
              <w:ind w:right="82"/>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7D7D7D"/>
            </w:tcBorders>
            <w:gridSpan w:val="2"/>
            <w:vMerge w:val="restart"/>
          </w:tcPr>
          <w:p>
            <w:pPr>
              <w:jc w:val="center"/>
              <w:ind w:right="140"/>
              <w:spacing w:after="0"/>
              <w:rPr>
                <w:sz w:val="20"/>
                <w:szCs w:val="20"/>
                <w:color w:val="auto"/>
              </w:rPr>
            </w:pPr>
            <w:r>
              <w:rPr>
                <w:rFonts w:ascii="Arial" w:cs="Arial" w:eastAsia="Arial" w:hAnsi="Arial"/>
                <w:sz w:val="16"/>
                <w:szCs w:val="16"/>
                <w:color w:val="auto"/>
                <w:w w:val="99"/>
              </w:rPr>
              <w:t>—</w:t>
            </w:r>
          </w:p>
        </w:tc>
        <w:tc>
          <w:tcPr>
            <w:tcW w:w="1040" w:type="dxa"/>
            <w:vAlign w:val="bottom"/>
            <w:vMerge w:val="restart"/>
          </w:tcPr>
          <w:p>
            <w:pPr>
              <w:jc w:val="center"/>
              <w:ind w:right="124"/>
              <w:spacing w:after="0"/>
              <w:rPr>
                <w:sz w:val="20"/>
                <w:szCs w:val="20"/>
                <w:color w:val="auto"/>
              </w:rPr>
            </w:pPr>
            <w:r>
              <w:rPr>
                <w:rFonts w:ascii="Arial" w:cs="Arial" w:eastAsia="Arial" w:hAnsi="Arial"/>
                <w:sz w:val="16"/>
                <w:szCs w:val="16"/>
                <w:color w:val="auto"/>
                <w:w w:val="98"/>
              </w:rPr>
              <w:t>15,000</w:t>
            </w:r>
          </w:p>
        </w:tc>
        <w:tc>
          <w:tcPr>
            <w:tcW w:w="540" w:type="dxa"/>
            <w:vAlign w:val="bottom"/>
            <w:tcBorders>
              <w:right w:val="single" w:sz="8" w:color="7D7D7D"/>
            </w:tcBorders>
          </w:tcPr>
          <w:p>
            <w:pPr>
              <w:jc w:val="right"/>
              <w:ind w:right="309"/>
              <w:spacing w:after="0"/>
              <w:rPr>
                <w:sz w:val="20"/>
                <w:szCs w:val="20"/>
                <w:color w:val="auto"/>
              </w:rPr>
            </w:pPr>
            <w:r>
              <w:rPr>
                <w:rFonts w:ascii="Arial" w:cs="Arial" w:eastAsia="Arial" w:hAnsi="Arial"/>
                <w:sz w:val="10"/>
                <w:szCs w:val="10"/>
                <w:color w:val="auto"/>
              </w:rPr>
              <w:t>(8)</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8"/>
              </w:rPr>
              <w:t>3,354,150</w:t>
            </w: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60" w:type="dxa"/>
            <w:vAlign w:val="bottom"/>
            <w:tcBorders>
              <w:left w:val="single" w:sz="8" w:color="7D7D7D"/>
            </w:tcBorders>
            <w:vMerge w:val="restart"/>
          </w:tcPr>
          <w:p>
            <w:pPr>
              <w:ind w:left="120"/>
              <w:spacing w:after="0"/>
              <w:rPr>
                <w:sz w:val="20"/>
                <w:szCs w:val="20"/>
                <w:color w:val="auto"/>
              </w:rPr>
            </w:pPr>
            <w:r>
              <w:rPr>
                <w:rFonts w:ascii="Arial" w:cs="Arial" w:eastAsia="Arial" w:hAnsi="Arial"/>
                <w:sz w:val="16"/>
                <w:szCs w:val="16"/>
                <w:b w:val="1"/>
                <w:bCs w:val="1"/>
                <w:color w:val="auto"/>
              </w:rPr>
              <w:t>Jeffrey McNeil</w:t>
            </w:r>
          </w:p>
        </w:tc>
        <w:tc>
          <w:tcPr>
            <w:tcW w:w="120" w:type="dxa"/>
            <w:vAlign w:val="bottom"/>
            <w:tcBorders>
              <w:right w:val="single" w:sz="8" w:color="7D7D7D"/>
            </w:tcBorders>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Borders>
              <w:right w:val="single" w:sz="8" w:color="7D7D7D"/>
            </w:tcBorders>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tcBorders>
              <w:right w:val="single" w:sz="8" w:color="7D7D7D"/>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20" w:type="dxa"/>
            <w:vAlign w:val="bottom"/>
            <w:tcBorders>
              <w:right w:val="single" w:sz="8" w:color="7D7D7D"/>
            </w:tcBorders>
          </w:tcPr>
          <w:p>
            <w:pPr>
              <w:spacing w:after="0"/>
              <w:rPr>
                <w:sz w:val="8"/>
                <w:szCs w:val="8"/>
                <w:color w:val="auto"/>
              </w:rPr>
            </w:pPr>
          </w:p>
        </w:tc>
        <w:tc>
          <w:tcPr>
            <w:tcW w:w="800" w:type="dxa"/>
            <w:vAlign w:val="bottom"/>
            <w:vMerge w:val="continue"/>
          </w:tcPr>
          <w:p>
            <w:pPr>
              <w:spacing w:after="0"/>
              <w:rPr>
                <w:sz w:val="8"/>
                <w:szCs w:val="8"/>
                <w:color w:val="auto"/>
              </w:rPr>
            </w:pPr>
          </w:p>
        </w:tc>
        <w:tc>
          <w:tcPr>
            <w:tcW w:w="260" w:type="dxa"/>
            <w:vAlign w:val="bottom"/>
            <w:tcBorders>
              <w:right w:val="single" w:sz="8" w:color="7D7D7D"/>
            </w:tcBorders>
          </w:tcPr>
          <w:p>
            <w:pPr>
              <w:spacing w:after="0"/>
              <w:rPr>
                <w:sz w:val="8"/>
                <w:szCs w:val="8"/>
                <w:color w:val="auto"/>
              </w:rPr>
            </w:pPr>
          </w:p>
        </w:tc>
        <w:tc>
          <w:tcPr>
            <w:tcW w:w="1160" w:type="dxa"/>
            <w:vAlign w:val="bottom"/>
            <w:tcBorders>
              <w:right w:val="single" w:sz="8" w:color="7D7D7D"/>
            </w:tcBorders>
            <w:vMerge w:val="continue"/>
          </w:tcPr>
          <w:p>
            <w:pPr>
              <w:spacing w:after="0"/>
              <w:rPr>
                <w:sz w:val="8"/>
                <w:szCs w:val="8"/>
                <w:color w:val="auto"/>
              </w:rPr>
            </w:pPr>
          </w:p>
        </w:tc>
        <w:tc>
          <w:tcPr>
            <w:tcW w:w="1180" w:type="dxa"/>
            <w:vAlign w:val="bottom"/>
            <w:tcBorders>
              <w:right w:val="single" w:sz="8" w:color="7D7D7D"/>
            </w:tcBorders>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540" w:type="dxa"/>
            <w:vAlign w:val="bottom"/>
            <w:tcBorders>
              <w:right w:val="single" w:sz="8" w:color="7D7D7D"/>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20" w:type="dxa"/>
            <w:vAlign w:val="bottom"/>
            <w:shd w:val="clear" w:color="auto" w:fill="7D7D7D"/>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660" w:type="dxa"/>
            <w:vAlign w:val="bottom"/>
            <w:tcBorders>
              <w:left w:val="single" w:sz="8" w:color="7D7D7D"/>
            </w:tcBorders>
            <w:vMerge w:val="continue"/>
          </w:tcPr>
          <w:p>
            <w:pPr>
              <w:spacing w:after="0"/>
              <w:rPr>
                <w:sz w:val="12"/>
                <w:szCs w:val="12"/>
                <w:color w:val="auto"/>
              </w:rPr>
            </w:pPr>
          </w:p>
        </w:tc>
        <w:tc>
          <w:tcPr>
            <w:tcW w:w="120" w:type="dxa"/>
            <w:vAlign w:val="bottom"/>
            <w:tcBorders>
              <w:right w:val="single" w:sz="8" w:color="7D7D7D"/>
            </w:tcBorders>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right w:val="single" w:sz="8" w:color="7D7D7D"/>
            </w:tcBorders>
          </w:tcPr>
          <w:p>
            <w:pPr>
              <w:spacing w:after="0"/>
              <w:rPr>
                <w:sz w:val="12"/>
                <w:szCs w:val="12"/>
                <w:color w:val="auto"/>
              </w:rPr>
            </w:pPr>
          </w:p>
        </w:tc>
        <w:tc>
          <w:tcPr>
            <w:tcW w:w="780" w:type="dxa"/>
            <w:vAlign w:val="bottom"/>
            <w:vMerge w:val="restart"/>
          </w:tcPr>
          <w:p>
            <w:pPr>
              <w:jc w:val="center"/>
              <w:ind w:left="143"/>
              <w:spacing w:after="0"/>
              <w:rPr>
                <w:sz w:val="20"/>
                <w:szCs w:val="20"/>
                <w:color w:val="auto"/>
              </w:rPr>
            </w:pPr>
            <w:r>
              <w:rPr>
                <w:rFonts w:ascii="Arial" w:cs="Arial" w:eastAsia="Arial" w:hAnsi="Arial"/>
                <w:sz w:val="16"/>
                <w:szCs w:val="16"/>
                <w:color w:val="auto"/>
                <w:w w:val="96"/>
              </w:rPr>
              <w:t>193,750</w:t>
            </w:r>
          </w:p>
        </w:tc>
        <w:tc>
          <w:tcPr>
            <w:tcW w:w="340" w:type="dxa"/>
            <w:vAlign w:val="bottom"/>
            <w:tcBorders>
              <w:right w:val="single" w:sz="8" w:color="7D7D7D"/>
            </w:tcBorders>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6"/>
              </w:rPr>
              <w:t>348,750</w:t>
            </w:r>
          </w:p>
        </w:tc>
        <w:tc>
          <w:tcPr>
            <w:tcW w:w="120" w:type="dxa"/>
            <w:vAlign w:val="bottom"/>
            <w:tcBorders>
              <w:right w:val="single" w:sz="8" w:color="7D7D7D"/>
            </w:tcBorders>
          </w:tcPr>
          <w:p>
            <w:pPr>
              <w:spacing w:after="0"/>
              <w:rPr>
                <w:sz w:val="12"/>
                <w:szCs w:val="12"/>
                <w:color w:val="auto"/>
              </w:rPr>
            </w:pPr>
          </w:p>
        </w:tc>
        <w:tc>
          <w:tcPr>
            <w:tcW w:w="800" w:type="dxa"/>
            <w:vAlign w:val="bottom"/>
            <w:vMerge w:val="restart"/>
          </w:tcPr>
          <w:p>
            <w:pPr>
              <w:jc w:val="center"/>
              <w:ind w:left="42"/>
              <w:spacing w:after="0"/>
              <w:rPr>
                <w:sz w:val="20"/>
                <w:szCs w:val="20"/>
                <w:color w:val="auto"/>
              </w:rPr>
            </w:pPr>
            <w:r>
              <w:rPr>
                <w:rFonts w:ascii="Arial" w:cs="Arial" w:eastAsia="Arial" w:hAnsi="Arial"/>
                <w:sz w:val="16"/>
                <w:szCs w:val="16"/>
                <w:color w:val="auto"/>
                <w:w w:val="99"/>
              </w:rPr>
              <w:t>—</w:t>
            </w:r>
          </w:p>
        </w:tc>
        <w:tc>
          <w:tcPr>
            <w:tcW w:w="260" w:type="dxa"/>
            <w:vAlign w:val="bottom"/>
            <w:tcBorders>
              <w:right w:val="single" w:sz="8" w:color="7D7D7D"/>
            </w:tcBorders>
          </w:tcPr>
          <w:p>
            <w:pPr>
              <w:spacing w:after="0"/>
              <w:rPr>
                <w:sz w:val="12"/>
                <w:szCs w:val="12"/>
                <w:color w:val="auto"/>
              </w:rPr>
            </w:pPr>
          </w:p>
        </w:tc>
        <w:tc>
          <w:tcPr>
            <w:tcW w:w="1160" w:type="dxa"/>
            <w:vAlign w:val="bottom"/>
            <w:tcBorders>
              <w:right w:val="single" w:sz="8" w:color="7D7D7D"/>
            </w:tcBorders>
            <w:vMerge w:val="restart"/>
          </w:tcPr>
          <w:p>
            <w:pPr>
              <w:jc w:val="center"/>
              <w:ind w:right="82"/>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7D7D7D"/>
            </w:tcBorders>
            <w:gridSpan w:val="2"/>
            <w:vMerge w:val="restart"/>
          </w:tcPr>
          <w:p>
            <w:pPr>
              <w:jc w:val="center"/>
              <w:ind w:right="140"/>
              <w:spacing w:after="0"/>
              <w:rPr>
                <w:sz w:val="20"/>
                <w:szCs w:val="20"/>
                <w:color w:val="auto"/>
              </w:rPr>
            </w:pPr>
            <w:r>
              <w:rPr>
                <w:rFonts w:ascii="Arial" w:cs="Arial" w:eastAsia="Arial" w:hAnsi="Arial"/>
                <w:sz w:val="16"/>
                <w:szCs w:val="16"/>
                <w:color w:val="auto"/>
                <w:w w:val="99"/>
              </w:rPr>
              <w:t>—</w:t>
            </w:r>
          </w:p>
        </w:tc>
        <w:tc>
          <w:tcPr>
            <w:tcW w:w="1040" w:type="dxa"/>
            <w:vAlign w:val="bottom"/>
            <w:vMerge w:val="restart"/>
          </w:tcPr>
          <w:p>
            <w:pPr>
              <w:jc w:val="center"/>
              <w:ind w:right="124"/>
              <w:spacing w:after="0"/>
              <w:rPr>
                <w:sz w:val="20"/>
                <w:szCs w:val="20"/>
                <w:color w:val="auto"/>
              </w:rPr>
            </w:pPr>
            <w:r>
              <w:rPr>
                <w:rFonts w:ascii="Arial" w:cs="Arial" w:eastAsia="Arial" w:hAnsi="Arial"/>
                <w:sz w:val="16"/>
                <w:szCs w:val="16"/>
                <w:color w:val="auto"/>
                <w:w w:val="99"/>
              </w:rPr>
              <w:t>—</w:t>
            </w:r>
          </w:p>
        </w:tc>
        <w:tc>
          <w:tcPr>
            <w:tcW w:w="540" w:type="dxa"/>
            <w:vAlign w:val="bottom"/>
            <w:tcBorders>
              <w:right w:val="single" w:sz="8" w:color="7D7D7D"/>
            </w:tcBorders>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7D7D7D"/>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7D7D7D"/>
            </w:tcBorders>
          </w:tcPr>
          <w:p>
            <w:pPr>
              <w:spacing w:after="0"/>
              <w:rPr>
                <w:sz w:val="10"/>
                <w:szCs w:val="10"/>
                <w:color w:val="auto"/>
              </w:rPr>
            </w:pPr>
          </w:p>
        </w:tc>
        <w:tc>
          <w:tcPr>
            <w:tcW w:w="120" w:type="dxa"/>
            <w:vAlign w:val="bottom"/>
            <w:tcBorders>
              <w:right w:val="single" w:sz="8" w:color="7D7D7D"/>
            </w:tcBorders>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Borders>
              <w:right w:val="single" w:sz="8" w:color="7D7D7D"/>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340" w:type="dxa"/>
            <w:vAlign w:val="bottom"/>
            <w:tcBorders>
              <w:right w:val="single" w:sz="8" w:color="7D7D7D"/>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Borders>
              <w:right w:val="single" w:sz="8" w:color="7D7D7D"/>
            </w:tcBorders>
          </w:tcPr>
          <w:p>
            <w:pPr>
              <w:spacing w:after="0"/>
              <w:rPr>
                <w:sz w:val="10"/>
                <w:szCs w:val="10"/>
                <w:color w:val="auto"/>
              </w:rPr>
            </w:pPr>
          </w:p>
        </w:tc>
        <w:tc>
          <w:tcPr>
            <w:tcW w:w="800" w:type="dxa"/>
            <w:vAlign w:val="bottom"/>
            <w:vMerge w:val="continue"/>
          </w:tcPr>
          <w:p>
            <w:pPr>
              <w:spacing w:after="0"/>
              <w:rPr>
                <w:sz w:val="10"/>
                <w:szCs w:val="10"/>
                <w:color w:val="auto"/>
              </w:rPr>
            </w:pPr>
          </w:p>
        </w:tc>
        <w:tc>
          <w:tcPr>
            <w:tcW w:w="260" w:type="dxa"/>
            <w:vAlign w:val="bottom"/>
            <w:tcBorders>
              <w:right w:val="single" w:sz="8" w:color="7D7D7D"/>
            </w:tcBorders>
          </w:tcPr>
          <w:p>
            <w:pPr>
              <w:spacing w:after="0"/>
              <w:rPr>
                <w:sz w:val="10"/>
                <w:szCs w:val="10"/>
                <w:color w:val="auto"/>
              </w:rPr>
            </w:pPr>
          </w:p>
        </w:tc>
        <w:tc>
          <w:tcPr>
            <w:tcW w:w="1160" w:type="dxa"/>
            <w:vAlign w:val="bottom"/>
            <w:tcBorders>
              <w:right w:val="single" w:sz="8" w:color="7D7D7D"/>
            </w:tcBorders>
            <w:vMerge w:val="continue"/>
          </w:tcPr>
          <w:p>
            <w:pPr>
              <w:spacing w:after="0"/>
              <w:rPr>
                <w:sz w:val="10"/>
                <w:szCs w:val="10"/>
                <w:color w:val="auto"/>
              </w:rPr>
            </w:pPr>
          </w:p>
        </w:tc>
        <w:tc>
          <w:tcPr>
            <w:tcW w:w="1180" w:type="dxa"/>
            <w:vAlign w:val="bottom"/>
            <w:tcBorders>
              <w:right w:val="single" w:sz="8" w:color="7D7D7D"/>
            </w:tcBorders>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tcBorders>
              <w:right w:val="single" w:sz="8" w:color="7D7D7D"/>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660" w:type="dxa"/>
            <w:vAlign w:val="bottom"/>
            <w:tcBorders>
              <w:left w:val="single" w:sz="8" w:color="7D7D7D"/>
            </w:tcBorders>
          </w:tcPr>
          <w:p>
            <w:pPr>
              <w:spacing w:after="0"/>
              <w:rPr>
                <w:sz w:val="2"/>
                <w:szCs w:val="2"/>
                <w:color w:val="auto"/>
              </w:rPr>
            </w:pPr>
          </w:p>
        </w:tc>
        <w:tc>
          <w:tcPr>
            <w:tcW w:w="120" w:type="dxa"/>
            <w:vAlign w:val="bottom"/>
            <w:tcBorders>
              <w:right w:val="single" w:sz="8" w:color="7D7D7D"/>
            </w:tcBorders>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7D7D7D"/>
            </w:tcBorders>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Borders>
              <w:right w:val="single" w:sz="8" w:color="7D7D7D"/>
            </w:tcBorders>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7D7D7D"/>
            </w:tcBorders>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Borders>
              <w:right w:val="single" w:sz="8" w:color="7D7D7D"/>
            </w:tcBorders>
          </w:tcPr>
          <w:p>
            <w:pPr>
              <w:spacing w:after="0"/>
              <w:rPr>
                <w:sz w:val="2"/>
                <w:szCs w:val="2"/>
                <w:color w:val="auto"/>
              </w:rPr>
            </w:pPr>
          </w:p>
        </w:tc>
        <w:tc>
          <w:tcPr>
            <w:tcW w:w="1160" w:type="dxa"/>
            <w:vAlign w:val="bottom"/>
            <w:tcBorders>
              <w:right w:val="single" w:sz="8" w:color="7D7D7D"/>
            </w:tcBorders>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7D7D7D"/>
            </w:tcBorders>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Borders>
              <w:right w:val="single" w:sz="8" w:color="7D7D7D"/>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shd w:val="clear" w:color="auto" w:fill="7D7D7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jc w:val="both"/>
        <w:ind w:left="240" w:right="20" w:hanging="235"/>
        <w:spacing w:after="0" w:line="256" w:lineRule="auto"/>
        <w:tabs>
          <w:tab w:leader="none" w:pos="226" w:val="left"/>
        </w:tabs>
        <w:numPr>
          <w:ilvl w:val="0"/>
          <w:numId w:val="50"/>
        </w:numPr>
        <w:rPr>
          <w:rFonts w:ascii="Arial" w:cs="Arial" w:eastAsia="Arial" w:hAnsi="Arial"/>
          <w:sz w:val="14"/>
          <w:szCs w:val="14"/>
          <w:color w:val="7D7D7D"/>
        </w:rPr>
      </w:pPr>
      <w:r>
        <w:rPr>
          <w:rFonts w:ascii="Arial" w:cs="Arial" w:eastAsia="Arial" w:hAnsi="Arial"/>
          <w:sz w:val="14"/>
          <w:szCs w:val="14"/>
          <w:color w:val="7D7D7D"/>
        </w:rPr>
        <w:t>This column sets forth the target and maximum amount of each NEO’s annual performance-based bonus for the fiscal year ended December 31, 2023 under our quarterly cash performance-based bonus plan. Accordingly, the amounts set forth in this column do not represent actual compensation earned by our NEOs for the fiscal year ended December 31, 2023. The performance-based bonus is determined by multiplying the NEO’s base salary by (a) the applicable Bonus Percentage, (b) the Company Performance Factor (0 to 1.0x), (c) the Funding Factor (0 to 1.5x), and (d) the Individual Performance Factor (0 to 1.2x), for an overall maximum payout equal to 1.8 times target. For the actual quarterly performance-based bonuses paid to our NEOs for the fiscal year ended December 31, 2023, please refer to the “Summary Compensation Table” above. For a further discussion of the bonus program, please refer to the section entitled “Compensation Discussion and Analysis - 2023 Quarterly Performance Cash Bonus Program.”</w:t>
      </w:r>
    </w:p>
    <w:p>
      <w:pPr>
        <w:spacing w:after="0" w:line="28" w:lineRule="exact"/>
        <w:rPr>
          <w:sz w:val="20"/>
          <w:szCs w:val="20"/>
          <w:color w:val="auto"/>
        </w:rPr>
      </w:pPr>
    </w:p>
    <w:p>
      <w:pPr>
        <w:jc w:val="both"/>
        <w:ind w:left="240" w:right="20" w:hanging="235"/>
        <w:spacing w:after="0" w:line="260" w:lineRule="auto"/>
        <w:tabs>
          <w:tab w:leader="none" w:pos="226" w:val="left"/>
        </w:tabs>
        <w:numPr>
          <w:ilvl w:val="0"/>
          <w:numId w:val="51"/>
        </w:numPr>
        <w:rPr>
          <w:rFonts w:ascii="Arial" w:cs="Arial" w:eastAsia="Arial" w:hAnsi="Arial"/>
          <w:sz w:val="14"/>
          <w:szCs w:val="14"/>
          <w:color w:val="7D7D7D"/>
        </w:rPr>
      </w:pPr>
      <w:r>
        <w:rPr>
          <w:rFonts w:ascii="Arial" w:cs="Arial" w:eastAsia="Arial" w:hAnsi="Arial"/>
          <w:sz w:val="14"/>
          <w:szCs w:val="14"/>
          <w:color w:val="7D7D7D"/>
        </w:rPr>
        <w:t>These columns set forth the threshold, target and maximum number of PSUs that could be earned by our NEOs pursuant to awards made under the 2023 PSP, as further described in footnotes 5 and 6 below. For additional details regarding the 2023 PSP, please refer to the section entitled “Compensation Discussion and Analysis - Equity-Based Incentive Compensation.”</w:t>
      </w:r>
    </w:p>
    <w:p>
      <w:pPr>
        <w:spacing w:after="0" w:line="26" w:lineRule="exact"/>
        <w:rPr>
          <w:sz w:val="20"/>
          <w:szCs w:val="20"/>
          <w:color w:val="auto"/>
        </w:rPr>
      </w:pPr>
    </w:p>
    <w:p>
      <w:pPr>
        <w:jc w:val="both"/>
        <w:ind w:left="240" w:right="20" w:hanging="235"/>
        <w:spacing w:after="0" w:line="255" w:lineRule="auto"/>
        <w:tabs>
          <w:tab w:leader="none" w:pos="226" w:val="left"/>
        </w:tabs>
        <w:numPr>
          <w:ilvl w:val="0"/>
          <w:numId w:val="52"/>
        </w:numPr>
        <w:rPr>
          <w:rFonts w:ascii="Arial" w:cs="Arial" w:eastAsia="Arial" w:hAnsi="Arial"/>
          <w:sz w:val="14"/>
          <w:szCs w:val="14"/>
          <w:color w:val="7D7D7D"/>
        </w:rPr>
      </w:pPr>
      <w:r>
        <w:rPr>
          <w:rFonts w:ascii="Arial" w:cs="Arial" w:eastAsia="Arial" w:hAnsi="Arial"/>
          <w:sz w:val="14"/>
          <w:szCs w:val="14"/>
          <w:color w:val="7D7D7D"/>
        </w:rPr>
        <w:t>Amounts represent the grant date fair value of each stock award granted in 2023. In accordance with ASC 718, the grant date fair value per share subject to (i) each time-based vesting RSU and the at target number of PSUs that could be earned based on achievement of the 2023 Annual CEO SMART Goals is computed based on the closing price of our common stock as reported on the Nasdaq Global Market on the applicable grant date, and (ii) the PSUs that could be earned based on achievement of the relative TSR goals is computed based on the estimated fair value per share using a Monte Carlo simulation ($267.57 as of the March 8, 2023 grant date and $163.93 as of the July 21, 2023 grant date, as applicable). See Note 16, “Stock-Based Compensation” of the notes to consolidated financial statements included in Item 8 of our Annual Report on Form 10-K for the year ended December 31, 2023, as filed with the SEC on February 9, 2024, regarding assumptions underlying the valuation of stock awards and the calculation method. The grant date fair value computed in accordance with ASC 718 represents the amount we expect to expense for accounting purposes over the award's vesting schedule, and not the actual value that will be realized by the NEOs to the extent the awards vest. In addition to the level of performance achieved, the realized value of the PSUs earned will be determined by the price of our stock on the date any shares are issued at the end of the performance period, which may be more or less than the grant date fair value.</w:t>
      </w:r>
    </w:p>
    <w:p>
      <w:pPr>
        <w:spacing w:after="0" w:line="16" w:lineRule="exact"/>
        <w:rPr>
          <w:sz w:val="20"/>
          <w:szCs w:val="20"/>
          <w:color w:val="auto"/>
        </w:rPr>
      </w:pPr>
    </w:p>
    <w:p>
      <w:pPr>
        <w:ind w:left="220" w:hanging="215"/>
        <w:spacing w:after="0"/>
        <w:tabs>
          <w:tab w:leader="none" w:pos="220" w:val="left"/>
        </w:tabs>
        <w:numPr>
          <w:ilvl w:val="0"/>
          <w:numId w:val="53"/>
        </w:numPr>
        <w:rPr>
          <w:rFonts w:ascii="Arial" w:cs="Arial" w:eastAsia="Arial" w:hAnsi="Arial"/>
          <w:sz w:val="14"/>
          <w:szCs w:val="14"/>
          <w:color w:val="7D7D7D"/>
        </w:rPr>
      </w:pPr>
      <w:r>
        <w:rPr>
          <w:rFonts w:ascii="Arial" w:cs="Arial" w:eastAsia="Arial" w:hAnsi="Arial"/>
          <w:sz w:val="14"/>
          <w:szCs w:val="14"/>
          <w:color w:val="7D7D7D"/>
        </w:rPr>
        <w:t>The shares subject to the RSU award vest over a three-year period, with 1/3</w:t>
      </w:r>
      <w:r>
        <w:rPr>
          <w:rFonts w:ascii="Arial" w:cs="Arial" w:eastAsia="Arial" w:hAnsi="Arial"/>
          <w:sz w:val="9"/>
          <w:szCs w:val="9"/>
          <w:color w:val="7D7D7D"/>
        </w:rPr>
        <w:t>rd</w:t>
      </w:r>
      <w:r>
        <w:rPr>
          <w:rFonts w:ascii="Arial" w:cs="Arial" w:eastAsia="Arial" w:hAnsi="Arial"/>
          <w:sz w:val="14"/>
          <w:szCs w:val="14"/>
          <w:color w:val="7D7D7D"/>
        </w:rPr>
        <w:t xml:space="preserve"> of the RSUs vesting on each of March 1, 2024, March 1, 2025 and March 1, 2026.</w:t>
      </w:r>
    </w:p>
    <w:p>
      <w:pPr>
        <w:spacing w:after="0" w:line="200" w:lineRule="exact"/>
        <w:rPr>
          <w:rFonts w:ascii="Arial" w:cs="Arial" w:eastAsia="Arial" w:hAnsi="Arial"/>
          <w:sz w:val="14"/>
          <w:szCs w:val="14"/>
          <w:color w:val="7D7D7D"/>
        </w:rPr>
      </w:pPr>
    </w:p>
    <w:p>
      <w:pPr>
        <w:spacing w:after="0" w:line="336" w:lineRule="exact"/>
        <w:rPr>
          <w:rFonts w:ascii="Arial" w:cs="Arial" w:eastAsia="Arial" w:hAnsi="Arial"/>
          <w:sz w:val="14"/>
          <w:szCs w:val="14"/>
          <w:color w:val="7D7D7D"/>
        </w:rPr>
      </w:pPr>
    </w:p>
    <w:p>
      <w:pPr>
        <w:ind w:left="4280"/>
        <w:spacing w:after="0"/>
        <w:rPr>
          <w:rFonts w:ascii="Arial" w:cs="Arial" w:eastAsia="Arial" w:hAnsi="Arial"/>
          <w:sz w:val="14"/>
          <w:szCs w:val="14"/>
          <w:color w:val="7D7D7D"/>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000" w:right="319" w:bottom="1440" w:gutter="0" w:footer="0" w:header="0"/>
        </w:sectPr>
      </w:pPr>
    </w:p>
    <w:bookmarkStart w:id="55" w:name="page56"/>
    <w:bookmarkEnd w:id="55"/>
    <w:p>
      <w:pPr>
        <w:jc w:val="both"/>
        <w:ind w:left="240" w:hanging="235"/>
        <w:spacing w:after="0" w:line="270" w:lineRule="auto"/>
        <w:tabs>
          <w:tab w:leader="none" w:pos="226" w:val="left"/>
        </w:tabs>
        <w:numPr>
          <w:ilvl w:val="0"/>
          <w:numId w:val="54"/>
        </w:numPr>
        <w:rPr>
          <w:rFonts w:ascii="Arial" w:cs="Arial" w:eastAsia="Arial" w:hAnsi="Arial"/>
          <w:sz w:val="14"/>
          <w:szCs w:val="14"/>
          <w:color w:val="7D7D7D"/>
        </w:rPr>
      </w:pPr>
      <w:r>
        <w:rPr>
          <w:rFonts w:ascii="Arial" w:cs="Arial" w:eastAsia="Arial" w:hAnsi="Arial"/>
          <w:sz w:val="14"/>
          <w:szCs w:val="14"/>
          <w:color w:val="7D7D7D"/>
        </w:rPr>
        <w:t>The shares subject to the PSU award vest upon achievement of the 2023 Annual CEO SMART Goals and were eligible to vest on March 1, 2024. For a further discussion of these PSUs, please refer to the section entitled “Compensation Discussion and Analysis - Equity-Based Incentive Compensation.” Based on the achievement of the performance criteria related to the performance of the 2023 Annual CEO SMART Goals during 2023, 50% of the PSUs vested on March 1, 2024.</w:t>
      </w:r>
    </w:p>
    <w:p>
      <w:pPr>
        <w:spacing w:after="0" w:line="6" w:lineRule="exact"/>
        <w:rPr>
          <w:sz w:val="20"/>
          <w:szCs w:val="20"/>
          <w:color w:val="auto"/>
        </w:rPr>
      </w:pPr>
    </w:p>
    <w:p>
      <w:pPr>
        <w:ind w:left="240" w:hanging="235"/>
        <w:spacing w:after="0" w:line="287" w:lineRule="auto"/>
        <w:tabs>
          <w:tab w:leader="none" w:pos="226" w:val="left"/>
        </w:tabs>
        <w:numPr>
          <w:ilvl w:val="0"/>
          <w:numId w:val="55"/>
        </w:numPr>
        <w:rPr>
          <w:rFonts w:ascii="Arial" w:cs="Arial" w:eastAsia="Arial" w:hAnsi="Arial"/>
          <w:sz w:val="14"/>
          <w:szCs w:val="14"/>
          <w:color w:val="7D7D7D"/>
        </w:rPr>
      </w:pPr>
      <w:r>
        <w:rPr>
          <w:rFonts w:ascii="Arial" w:cs="Arial" w:eastAsia="Arial" w:hAnsi="Arial"/>
          <w:sz w:val="14"/>
          <w:szCs w:val="14"/>
          <w:color w:val="7D7D7D"/>
        </w:rPr>
        <w:t>The shares subject to the PSU award are eligible to vest on March 1, 2026 depending on the three-year TSR performance of Enphase relative to S&amp;P 500 companies. For a further discussion of these PSUs, please refer to the section entitled “Compensation Discussion and Analysis - Equity-Based Incentive Compensation.”</w:t>
      </w:r>
    </w:p>
    <w:p>
      <w:pPr>
        <w:spacing w:after="0" w:line="5" w:lineRule="exact"/>
        <w:rPr>
          <w:sz w:val="20"/>
          <w:szCs w:val="20"/>
          <w:color w:val="auto"/>
        </w:rPr>
      </w:pPr>
    </w:p>
    <w:p>
      <w:pPr>
        <w:ind w:left="220" w:hanging="215"/>
        <w:spacing w:after="0"/>
        <w:tabs>
          <w:tab w:leader="none" w:pos="220" w:val="left"/>
        </w:tabs>
        <w:numPr>
          <w:ilvl w:val="0"/>
          <w:numId w:val="56"/>
        </w:numPr>
        <w:rPr>
          <w:rFonts w:ascii="Arial" w:cs="Arial" w:eastAsia="Arial" w:hAnsi="Arial"/>
          <w:sz w:val="14"/>
          <w:szCs w:val="14"/>
          <w:color w:val="7D7D7D"/>
        </w:rPr>
      </w:pPr>
      <w:r>
        <w:rPr>
          <w:rFonts w:ascii="Arial" w:cs="Arial" w:eastAsia="Arial" w:hAnsi="Arial"/>
          <w:sz w:val="14"/>
          <w:szCs w:val="14"/>
          <w:color w:val="7D7D7D"/>
        </w:rPr>
        <w:t>The shares subject to the RSU award vest over a two-year period, with 1/8</w:t>
      </w:r>
      <w:r>
        <w:rPr>
          <w:rFonts w:ascii="Arial" w:cs="Arial" w:eastAsia="Arial" w:hAnsi="Arial"/>
          <w:sz w:val="18"/>
          <w:szCs w:val="18"/>
          <w:color w:val="7D7D7D"/>
          <w:vertAlign w:val="superscript"/>
        </w:rPr>
        <w:t>th</w:t>
      </w:r>
      <w:r>
        <w:rPr>
          <w:rFonts w:ascii="Arial" w:cs="Arial" w:eastAsia="Arial" w:hAnsi="Arial"/>
          <w:sz w:val="14"/>
          <w:szCs w:val="14"/>
          <w:color w:val="7D7D7D"/>
        </w:rPr>
        <w:t xml:space="preserve"> of the RSUs vesting on November 10, 2023 and 1/8</w:t>
      </w:r>
      <w:r>
        <w:rPr>
          <w:rFonts w:ascii="Arial" w:cs="Arial" w:eastAsia="Arial" w:hAnsi="Arial"/>
          <w:sz w:val="18"/>
          <w:szCs w:val="18"/>
          <w:color w:val="7D7D7D"/>
          <w:vertAlign w:val="superscript"/>
        </w:rPr>
        <w:t>th</w:t>
      </w:r>
      <w:r>
        <w:rPr>
          <w:rFonts w:ascii="Arial" w:cs="Arial" w:eastAsia="Arial" w:hAnsi="Arial"/>
          <w:sz w:val="14"/>
          <w:szCs w:val="14"/>
          <w:color w:val="7D7D7D"/>
        </w:rPr>
        <w:t xml:space="preserve"> quarterly thereafter.</w:t>
      </w:r>
    </w:p>
    <w:p>
      <w:pPr>
        <w:spacing w:after="0" w:line="31" w:lineRule="exact"/>
        <w:rPr>
          <w:rFonts w:ascii="Arial" w:cs="Arial" w:eastAsia="Arial" w:hAnsi="Arial"/>
          <w:sz w:val="14"/>
          <w:szCs w:val="14"/>
          <w:color w:val="7D7D7D"/>
        </w:rPr>
      </w:pPr>
    </w:p>
    <w:p>
      <w:pPr>
        <w:spacing w:after="0"/>
        <w:rPr>
          <w:rFonts w:ascii="Arial" w:cs="Arial" w:eastAsia="Arial" w:hAnsi="Arial"/>
          <w:sz w:val="14"/>
          <w:szCs w:val="14"/>
          <w:color w:val="7D7D7D"/>
        </w:rPr>
      </w:pPr>
      <w:r>
        <w:rPr>
          <w:rFonts w:ascii="Arial" w:cs="Arial" w:eastAsia="Arial" w:hAnsi="Arial"/>
          <w:sz w:val="14"/>
          <w:szCs w:val="14"/>
          <w:color w:val="7D7D7D"/>
        </w:rPr>
        <w:t>8  The shares subject to the RSU award vest over a two-year period, with 1/2 of the RSUs vesting on April 17, 2024 and 1/2 vesting on April 17, 2025.</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6" w:name="page57"/>
    <w:bookmarkEnd w:id="56"/>
    <w:p>
      <w:pPr>
        <w:spacing w:after="0"/>
        <w:rPr>
          <w:sz w:val="20"/>
          <w:szCs w:val="20"/>
          <w:color w:val="auto"/>
        </w:rPr>
      </w:pPr>
      <w:r>
        <w:rPr>
          <w:rFonts w:ascii="Arial" w:cs="Arial" w:eastAsia="Arial" w:hAnsi="Arial"/>
          <w:sz w:val="31"/>
          <w:szCs w:val="31"/>
          <w:b w:val="1"/>
          <w:bCs w:val="1"/>
          <w:color w:val="auto"/>
        </w:rPr>
        <w:t>Outstanding Equity Awards — at December 31, 2023</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information regarding the outstanding equity awards held by each of our NEOs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147320</wp:posOffset>
            </wp:positionV>
            <wp:extent cx="56927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92775" cy="825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FFFFFF"/>
        </w:rPr>
        <w:t>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Badrinarayanan</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Kothandaraman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Mandy Yang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David Ranhoff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Jeffrey McNeil</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3C3C3C"/>
              </w:rPr>
              <w:t>Option Awards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40" w:type="dxa"/>
            <w:vAlign w:val="bottom"/>
            <w:gridSpan w:val="2"/>
          </w:tcPr>
          <w:p>
            <w:pPr>
              <w:jc w:val="center"/>
              <w:ind w:left="124"/>
              <w:spacing w:after="0"/>
              <w:rPr>
                <w:sz w:val="20"/>
                <w:szCs w:val="20"/>
                <w:color w:val="auto"/>
              </w:rPr>
            </w:pPr>
            <w:r>
              <w:rPr>
                <w:rFonts w:ascii="Arial" w:cs="Arial" w:eastAsia="Arial" w:hAnsi="Arial"/>
                <w:sz w:val="14"/>
                <w:szCs w:val="14"/>
                <w:b w:val="1"/>
                <w:bCs w:val="1"/>
                <w:color w:val="FFFFFF"/>
                <w:w w:val="97"/>
              </w:rPr>
              <w:t>Number of</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2"/>
          </w:tcPr>
          <w:p>
            <w:pPr>
              <w:jc w:val="center"/>
              <w:ind w:left="124"/>
              <w:spacing w:after="0"/>
              <w:rPr>
                <w:sz w:val="20"/>
                <w:szCs w:val="20"/>
                <w:color w:val="auto"/>
              </w:rPr>
            </w:pPr>
            <w:r>
              <w:rPr>
                <w:rFonts w:ascii="Arial" w:cs="Arial" w:eastAsia="Arial" w:hAnsi="Arial"/>
                <w:sz w:val="14"/>
                <w:szCs w:val="14"/>
                <w:b w:val="1"/>
                <w:bCs w:val="1"/>
                <w:color w:val="FFFFFF"/>
              </w:rPr>
              <w:t>Securities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7"/>
              </w:rPr>
              <w:t>Option</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40" w:type="dxa"/>
            <w:vAlign w:val="bottom"/>
            <w:gridSpan w:val="2"/>
            <w:vMerge w:val="restart"/>
          </w:tcPr>
          <w:p>
            <w:pPr>
              <w:jc w:val="center"/>
              <w:ind w:left="124"/>
              <w:spacing w:after="0"/>
              <w:rPr>
                <w:sz w:val="20"/>
                <w:szCs w:val="20"/>
                <w:color w:val="auto"/>
              </w:rPr>
            </w:pPr>
            <w:r>
              <w:rPr>
                <w:rFonts w:ascii="Arial" w:cs="Arial" w:eastAsia="Arial" w:hAnsi="Arial"/>
                <w:sz w:val="14"/>
                <w:szCs w:val="14"/>
                <w:b w:val="1"/>
                <w:bCs w:val="1"/>
                <w:color w:val="FFFFFF"/>
                <w:w w:val="98"/>
              </w:rPr>
              <w:t>Underlying</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7"/>
              </w:rPr>
              <w:t>Exercise</w:t>
            </w:r>
          </w:p>
        </w:tc>
        <w:tc>
          <w:tcPr>
            <w:tcW w:w="1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40" w:type="dxa"/>
            <w:vAlign w:val="bottom"/>
            <w:gridSpan w:val="2"/>
            <w:vMerge w:val="restart"/>
          </w:tcPr>
          <w:p>
            <w:pPr>
              <w:jc w:val="center"/>
              <w:ind w:left="124"/>
              <w:spacing w:after="0"/>
              <w:rPr>
                <w:sz w:val="20"/>
                <w:szCs w:val="20"/>
                <w:color w:val="auto"/>
              </w:rPr>
            </w:pPr>
            <w:r>
              <w:rPr>
                <w:rFonts w:ascii="Arial" w:cs="Arial" w:eastAsia="Arial" w:hAnsi="Arial"/>
                <w:sz w:val="14"/>
                <w:szCs w:val="14"/>
                <w:b w:val="1"/>
                <w:bCs w:val="1"/>
                <w:color w:val="FFFFFF"/>
              </w:rPr>
              <w:t>Unexercised</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Expiration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9"/>
              </w:rPr>
              <w:t>Price</w:t>
            </w:r>
          </w:p>
        </w:tc>
        <w:tc>
          <w:tcPr>
            <w:tcW w:w="1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40" w:type="dxa"/>
            <w:vAlign w:val="bottom"/>
            <w:gridSpan w:val="2"/>
            <w:vMerge w:val="restart"/>
          </w:tcPr>
          <w:p>
            <w:pPr>
              <w:jc w:val="center"/>
              <w:ind w:left="124"/>
              <w:spacing w:after="0"/>
              <w:rPr>
                <w:sz w:val="20"/>
                <w:szCs w:val="20"/>
                <w:color w:val="auto"/>
              </w:rPr>
            </w:pPr>
            <w:r>
              <w:rPr>
                <w:rFonts w:ascii="Arial" w:cs="Arial" w:eastAsia="Arial" w:hAnsi="Arial"/>
                <w:sz w:val="14"/>
                <w:szCs w:val="14"/>
                <w:b w:val="1"/>
                <w:bCs w:val="1"/>
                <w:color w:val="FFFFFF"/>
                <w:w w:val="98"/>
              </w:rPr>
              <w:t>Options</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8"/>
              </w:rPr>
              <w:t>Date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($/Share)</w:t>
            </w:r>
          </w:p>
        </w:tc>
        <w:tc>
          <w:tcPr>
            <w:tcW w:w="1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40" w:type="dxa"/>
            <w:vAlign w:val="bottom"/>
            <w:gridSpan w:val="2"/>
            <w:vMerge w:val="restart"/>
          </w:tcPr>
          <w:p>
            <w:pPr>
              <w:jc w:val="center"/>
              <w:ind w:left="124"/>
              <w:spacing w:after="0" w:line="157" w:lineRule="exact"/>
              <w:rPr>
                <w:sz w:val="20"/>
                <w:szCs w:val="20"/>
                <w:color w:val="auto"/>
              </w:rPr>
            </w:pPr>
            <w:r>
              <w:rPr>
                <w:rFonts w:ascii="Arial" w:cs="Arial" w:eastAsia="Arial" w:hAnsi="Arial"/>
                <w:sz w:val="14"/>
                <w:szCs w:val="14"/>
                <w:b w:val="1"/>
                <w:bCs w:val="1"/>
                <w:color w:val="FFFFFF"/>
                <w:w w:val="97"/>
              </w:rPr>
              <w:t>Exercisable</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960" w:type="dxa"/>
            <w:vAlign w:val="bottom"/>
            <w:gridSpan w:val="2"/>
          </w:tcPr>
          <w:p>
            <w:pPr>
              <w:jc w:val="center"/>
              <w:ind w:left="250"/>
              <w:spacing w:after="0"/>
              <w:rPr>
                <w:sz w:val="20"/>
                <w:szCs w:val="20"/>
                <w:color w:val="auto"/>
              </w:rPr>
            </w:pPr>
            <w:r>
              <w:rPr>
                <w:rFonts w:ascii="Arial" w:cs="Arial" w:eastAsia="Arial" w:hAnsi="Arial"/>
                <w:sz w:val="14"/>
                <w:szCs w:val="14"/>
                <w:b w:val="1"/>
                <w:bCs w:val="1"/>
                <w:color w:val="FFFFFF"/>
                <w:w w:val="93"/>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557,660</w:t>
            </w:r>
          </w:p>
        </w:tc>
        <w:tc>
          <w:tcPr>
            <w:tcW w:w="100" w:type="dxa"/>
            <w:vAlign w:val="bottom"/>
          </w:tcPr>
          <w:p>
            <w:pPr>
              <w:spacing w:after="0"/>
              <w:rPr>
                <w:sz w:val="9"/>
                <w:szCs w:val="9"/>
                <w:color w:val="auto"/>
              </w:rPr>
            </w:pPr>
          </w:p>
        </w:tc>
        <w:tc>
          <w:tcPr>
            <w:tcW w:w="220" w:type="dxa"/>
            <w:vAlign w:val="bottom"/>
            <w:vMerge w:val="restart"/>
          </w:tcPr>
          <w:p>
            <w:pPr>
              <w:jc w:val="right"/>
              <w:ind w:right="40"/>
              <w:spacing w:after="0"/>
              <w:rPr>
                <w:sz w:val="20"/>
                <w:szCs w:val="20"/>
                <w:color w:val="auto"/>
              </w:rPr>
            </w:pPr>
            <w:r>
              <w:rPr>
                <w:rFonts w:ascii="Arial" w:cs="Arial" w:eastAsia="Arial" w:hAnsi="Arial"/>
                <w:sz w:val="10"/>
                <w:szCs w:val="10"/>
                <w:color w:val="auto"/>
                <w:w w:val="81"/>
              </w:rPr>
              <w:t>(3)</w:t>
            </w:r>
          </w:p>
        </w:tc>
        <w:tc>
          <w:tcPr>
            <w:tcW w:w="12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96"/>
              </w:rPr>
              <w:t>1.29</w:t>
            </w:r>
          </w:p>
        </w:tc>
        <w:tc>
          <w:tcPr>
            <w:tcW w:w="14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7"/>
              </w:rPr>
              <w:t>9/12/24</w:t>
            </w:r>
          </w:p>
        </w:tc>
        <w:tc>
          <w:tcPr>
            <w:tcW w:w="0" w:type="dxa"/>
            <w:vAlign w:val="bottom"/>
          </w:tcPr>
          <w:p>
            <w:pPr>
              <w:spacing w:after="0"/>
              <w:rPr>
                <w:sz w:val="1"/>
                <w:szCs w:val="1"/>
                <w:color w:val="auto"/>
              </w:rPr>
            </w:pPr>
          </w:p>
        </w:tc>
      </w:tr>
      <w:tr>
        <w:trPr>
          <w:trHeight w:val="123"/>
        </w:trPr>
        <w:tc>
          <w:tcPr>
            <w:tcW w:w="20" w:type="dxa"/>
            <w:vAlign w:val="bottom"/>
            <w:shd w:val="clear" w:color="auto" w:fill="B6B6B6"/>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20" w:type="dxa"/>
            <w:vAlign w:val="bottom"/>
            <w:tcBorders>
              <w:right w:val="single" w:sz="8" w:color="B6B6B6"/>
            </w:tcBorders>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Borders>
              <w:right w:val="single" w:sz="8" w:color="B6B6B6"/>
            </w:tcBorders>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B6B6B6"/>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B6B6B6"/>
            </w:tcBorders>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tcBorders>
              <w:right w:val="single" w:sz="8" w:color="B6B6B6"/>
            </w:tcBorders>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shd w:val="clear" w:color="auto" w:fill="B6B6B6"/>
          </w:tcPr>
          <w:p>
            <w:pPr>
              <w:spacing w:after="0"/>
              <w:rPr>
                <w:sz w:val="4"/>
                <w:szCs w:val="4"/>
                <w:color w:val="auto"/>
              </w:rPr>
            </w:pPr>
          </w:p>
        </w:tc>
        <w:tc>
          <w:tcPr>
            <w:tcW w:w="10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right w:val="single" w:sz="8" w:color="B6B6B6"/>
            </w:tcBorders>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Borders>
              <w:right w:val="single" w:sz="8" w:color="B6B6B6"/>
            </w:tcBorders>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shd w:val="clear" w:color="auto" w:fill="B6B6B6"/>
          </w:tcPr>
          <w:p>
            <w:pPr>
              <w:spacing w:after="0"/>
              <w:rPr>
                <w:sz w:val="22"/>
                <w:szCs w:val="22"/>
                <w:color w:val="auto"/>
              </w:rPr>
            </w:pPr>
          </w:p>
        </w:tc>
        <w:tc>
          <w:tcPr>
            <w:tcW w:w="9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right w:val="single" w:sz="8" w:color="B6B6B6"/>
            </w:tcBorders>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55"/>
        </w:trPr>
        <w:tc>
          <w:tcPr>
            <w:tcW w:w="20" w:type="dxa"/>
            <w:vAlign w:val="bottom"/>
            <w:shd w:val="clear" w:color="auto" w:fill="B6B6B6"/>
          </w:tcPr>
          <w:p>
            <w:pPr>
              <w:spacing w:after="0"/>
              <w:rPr>
                <w:sz w:val="4"/>
                <w:szCs w:val="4"/>
                <w:color w:val="auto"/>
              </w:rPr>
            </w:pPr>
          </w:p>
        </w:tc>
        <w:tc>
          <w:tcPr>
            <w:tcW w:w="9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right w:val="single" w:sz="8" w:color="B6B6B6"/>
            </w:tcBorders>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4"/>
                <w:szCs w:val="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9"/>
        </w:trPr>
        <w:tc>
          <w:tcPr>
            <w:tcW w:w="20" w:type="dxa"/>
            <w:vAlign w:val="bottom"/>
            <w:shd w:val="clear" w:color="auto" w:fill="B6B6B6"/>
          </w:tcPr>
          <w:p>
            <w:pPr>
              <w:spacing w:after="0"/>
              <w:rPr>
                <w:sz w:val="22"/>
                <w:szCs w:val="22"/>
                <w:color w:val="auto"/>
              </w:rPr>
            </w:pPr>
          </w:p>
        </w:tc>
        <w:tc>
          <w:tcPr>
            <w:tcW w:w="940" w:type="dxa"/>
            <w:vAlign w:val="bottom"/>
            <w:vMerge w:val="continue"/>
            <w:shd w:val="clear" w:color="auto" w:fill="FAF6EF"/>
          </w:tcPr>
          <w:p>
            <w:pPr>
              <w:spacing w:after="0"/>
              <w:rPr>
                <w:sz w:val="22"/>
                <w:szCs w:val="22"/>
                <w:color w:val="auto"/>
              </w:rPr>
            </w:pPr>
          </w:p>
        </w:tc>
        <w:tc>
          <w:tcPr>
            <w:tcW w:w="100" w:type="dxa"/>
            <w:vAlign w:val="bottom"/>
            <w:shd w:val="clear" w:color="auto" w:fill="FAF6EF"/>
          </w:tcPr>
          <w:p>
            <w:pPr>
              <w:spacing w:after="0"/>
              <w:rPr>
                <w:sz w:val="22"/>
                <w:szCs w:val="22"/>
                <w:color w:val="auto"/>
              </w:rPr>
            </w:pPr>
          </w:p>
        </w:tc>
        <w:tc>
          <w:tcPr>
            <w:tcW w:w="220" w:type="dxa"/>
            <w:vAlign w:val="bottom"/>
            <w:shd w:val="clear" w:color="auto" w:fill="FAF6EF"/>
          </w:tcPr>
          <w:p>
            <w:pPr>
              <w:spacing w:after="0"/>
              <w:rPr>
                <w:sz w:val="22"/>
                <w:szCs w:val="22"/>
                <w:color w:val="auto"/>
              </w:rPr>
            </w:pPr>
          </w:p>
        </w:tc>
        <w:tc>
          <w:tcPr>
            <w:tcW w:w="120" w:type="dxa"/>
            <w:vAlign w:val="bottom"/>
            <w:tcBorders>
              <w:right w:val="single" w:sz="8" w:color="B6B6B6"/>
            </w:tcBorders>
          </w:tcPr>
          <w:p>
            <w:pPr>
              <w:spacing w:after="0"/>
              <w:rPr>
                <w:sz w:val="22"/>
                <w:szCs w:val="22"/>
                <w:color w:val="auto"/>
              </w:rPr>
            </w:pPr>
          </w:p>
        </w:tc>
        <w:tc>
          <w:tcPr>
            <w:tcW w:w="820" w:type="dxa"/>
            <w:vAlign w:val="bottom"/>
            <w:vMerge w:val="continue"/>
          </w:tcPr>
          <w:p>
            <w:pPr>
              <w:spacing w:after="0"/>
              <w:rPr>
                <w:sz w:val="22"/>
                <w:szCs w:val="22"/>
                <w:color w:val="auto"/>
              </w:rPr>
            </w:pPr>
          </w:p>
        </w:tc>
        <w:tc>
          <w:tcPr>
            <w:tcW w:w="140" w:type="dxa"/>
            <w:vAlign w:val="bottom"/>
            <w:tcBorders>
              <w:right w:val="single" w:sz="8" w:color="B6B6B6"/>
            </w:tcBorders>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shd w:val="clear" w:color="auto" w:fill="B6B6B6"/>
          </w:tcPr>
          <w:p>
            <w:pPr>
              <w:spacing w:after="0"/>
              <w:rPr>
                <w:sz w:val="4"/>
                <w:szCs w:val="4"/>
                <w:color w:val="auto"/>
              </w:rPr>
            </w:pPr>
          </w:p>
        </w:tc>
        <w:tc>
          <w:tcPr>
            <w:tcW w:w="9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FAF6EF"/>
          </w:tcPr>
          <w:p>
            <w:pPr>
              <w:spacing w:after="0"/>
              <w:rPr>
                <w:sz w:val="4"/>
                <w:szCs w:val="4"/>
                <w:color w:val="auto"/>
              </w:rPr>
            </w:pPr>
          </w:p>
        </w:tc>
        <w:tc>
          <w:tcPr>
            <w:tcW w:w="220" w:type="dxa"/>
            <w:vAlign w:val="bottom"/>
            <w:shd w:val="clear" w:color="auto" w:fill="FAF6EF"/>
          </w:tcPr>
          <w:p>
            <w:pPr>
              <w:spacing w:after="0"/>
              <w:rPr>
                <w:sz w:val="4"/>
                <w:szCs w:val="4"/>
                <w:color w:val="auto"/>
              </w:rPr>
            </w:pPr>
          </w:p>
        </w:tc>
        <w:tc>
          <w:tcPr>
            <w:tcW w:w="120" w:type="dxa"/>
            <w:vAlign w:val="bottom"/>
            <w:tcBorders>
              <w:right w:val="single" w:sz="8" w:color="B6B6B6"/>
            </w:tcBorders>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4"/>
                <w:szCs w:val="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9"/>
        </w:trPr>
        <w:tc>
          <w:tcPr>
            <w:tcW w:w="20" w:type="dxa"/>
            <w:vAlign w:val="bottom"/>
            <w:shd w:val="clear" w:color="auto" w:fill="B6B6B6"/>
          </w:tcPr>
          <w:p>
            <w:pPr>
              <w:spacing w:after="0"/>
              <w:rPr>
                <w:sz w:val="22"/>
                <w:szCs w:val="22"/>
                <w:color w:val="auto"/>
              </w:rPr>
            </w:pPr>
          </w:p>
        </w:tc>
        <w:tc>
          <w:tcPr>
            <w:tcW w:w="940" w:type="dxa"/>
            <w:vAlign w:val="bottom"/>
            <w:vMerge w:val="continue"/>
            <w:shd w:val="clear" w:color="auto" w:fill="FAF6EF"/>
          </w:tcPr>
          <w:p>
            <w:pPr>
              <w:spacing w:after="0"/>
              <w:rPr>
                <w:sz w:val="22"/>
                <w:szCs w:val="22"/>
                <w:color w:val="auto"/>
              </w:rPr>
            </w:pPr>
          </w:p>
        </w:tc>
        <w:tc>
          <w:tcPr>
            <w:tcW w:w="100" w:type="dxa"/>
            <w:vAlign w:val="bottom"/>
            <w:shd w:val="clear" w:color="auto" w:fill="FAF6EF"/>
          </w:tcPr>
          <w:p>
            <w:pPr>
              <w:spacing w:after="0"/>
              <w:rPr>
                <w:sz w:val="22"/>
                <w:szCs w:val="22"/>
                <w:color w:val="auto"/>
              </w:rPr>
            </w:pPr>
          </w:p>
        </w:tc>
        <w:tc>
          <w:tcPr>
            <w:tcW w:w="220" w:type="dxa"/>
            <w:vAlign w:val="bottom"/>
            <w:shd w:val="clear" w:color="auto" w:fill="FAF6EF"/>
          </w:tcPr>
          <w:p>
            <w:pPr>
              <w:spacing w:after="0"/>
              <w:rPr>
                <w:sz w:val="22"/>
                <w:szCs w:val="22"/>
                <w:color w:val="auto"/>
              </w:rPr>
            </w:pPr>
          </w:p>
        </w:tc>
        <w:tc>
          <w:tcPr>
            <w:tcW w:w="120" w:type="dxa"/>
            <w:vAlign w:val="bottom"/>
            <w:tcBorders>
              <w:right w:val="single" w:sz="8" w:color="B6B6B6"/>
            </w:tcBorders>
            <w:shd w:val="clear" w:color="auto" w:fill="FAF6EF"/>
          </w:tcPr>
          <w:p>
            <w:pPr>
              <w:spacing w:after="0"/>
              <w:rPr>
                <w:sz w:val="22"/>
                <w:szCs w:val="22"/>
                <w:color w:val="auto"/>
              </w:rPr>
            </w:pPr>
          </w:p>
        </w:tc>
        <w:tc>
          <w:tcPr>
            <w:tcW w:w="820" w:type="dxa"/>
            <w:vAlign w:val="bottom"/>
            <w:vMerge w:val="continue"/>
          </w:tcPr>
          <w:p>
            <w:pPr>
              <w:spacing w:after="0"/>
              <w:rPr>
                <w:sz w:val="22"/>
                <w:szCs w:val="22"/>
                <w:color w:val="auto"/>
              </w:rPr>
            </w:pPr>
          </w:p>
        </w:tc>
        <w:tc>
          <w:tcPr>
            <w:tcW w:w="140" w:type="dxa"/>
            <w:vAlign w:val="bottom"/>
            <w:tcBorders>
              <w:right w:val="single" w:sz="8" w:color="B6B6B6"/>
            </w:tcBorders>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B6B6B6"/>
            </w:tcBorders>
            <w:shd w:val="clear" w:color="auto" w:fill="B6B6B6"/>
          </w:tcPr>
          <w:p>
            <w:pPr>
              <w:spacing w:after="0"/>
              <w:rPr>
                <w:sz w:val="24"/>
                <w:szCs w:val="24"/>
                <w:color w:val="auto"/>
              </w:rPr>
            </w:pPr>
          </w:p>
        </w:tc>
        <w:tc>
          <w:tcPr>
            <w:tcW w:w="94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FAF6EF"/>
            </w:tcBorders>
            <w:shd w:val="clear" w:color="auto" w:fill="FAF6EF"/>
          </w:tcPr>
          <w:p>
            <w:pPr>
              <w:spacing w:after="0"/>
              <w:rPr>
                <w:sz w:val="24"/>
                <w:szCs w:val="24"/>
                <w:color w:val="auto"/>
              </w:rPr>
            </w:pPr>
          </w:p>
        </w:tc>
        <w:tc>
          <w:tcPr>
            <w:tcW w:w="220" w:type="dxa"/>
            <w:vAlign w:val="bottom"/>
            <w:tcBorders>
              <w:bottom w:val="single" w:sz="8" w:color="FAF6EF"/>
            </w:tcBorders>
            <w:shd w:val="clear" w:color="auto" w:fill="FAF6EF"/>
          </w:tcPr>
          <w:p>
            <w:pPr>
              <w:spacing w:after="0"/>
              <w:rPr>
                <w:sz w:val="24"/>
                <w:szCs w:val="24"/>
                <w:color w:val="auto"/>
              </w:rPr>
            </w:pPr>
          </w:p>
        </w:tc>
        <w:tc>
          <w:tcPr>
            <w:tcW w:w="120" w:type="dxa"/>
            <w:vAlign w:val="bottom"/>
            <w:tcBorders>
              <w:bottom w:val="single" w:sz="8" w:color="FAF6EF"/>
              <w:right w:val="single" w:sz="8" w:color="B6B6B6"/>
            </w:tcBorders>
            <w:shd w:val="clear" w:color="auto" w:fill="FAF6EF"/>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9"/>
        </w:trPr>
        <w:tc>
          <w:tcPr>
            <w:tcW w:w="20" w:type="dxa"/>
            <w:vAlign w:val="bottom"/>
            <w:shd w:val="clear" w:color="auto" w:fill="B6B6B6"/>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22"/>
                <w:szCs w:val="22"/>
                <w:color w:val="auto"/>
              </w:rPr>
            </w:pPr>
          </w:p>
        </w:tc>
        <w:tc>
          <w:tcPr>
            <w:tcW w:w="120" w:type="dxa"/>
            <w:vAlign w:val="bottom"/>
            <w:tcBorders>
              <w:right w:val="single" w:sz="8" w:color="B6B6B6"/>
            </w:tcBorders>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4"/>
        </w:trPr>
        <w:tc>
          <w:tcPr>
            <w:tcW w:w="20" w:type="dxa"/>
            <w:vAlign w:val="bottom"/>
            <w:shd w:val="clear" w:color="auto" w:fill="B6B6B6"/>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24"/>
                <w:szCs w:val="24"/>
                <w:color w:val="auto"/>
              </w:rPr>
            </w:pPr>
          </w:p>
        </w:tc>
        <w:tc>
          <w:tcPr>
            <w:tcW w:w="120" w:type="dxa"/>
            <w:vAlign w:val="bottom"/>
            <w:tcBorders>
              <w:right w:val="single" w:sz="8" w:color="B6B6B6"/>
            </w:tcBorders>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4"/>
        </w:trPr>
        <w:tc>
          <w:tcPr>
            <w:tcW w:w="20" w:type="dxa"/>
            <w:vAlign w:val="bottom"/>
            <w:shd w:val="clear" w:color="auto" w:fill="B6B6B6"/>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24"/>
                <w:szCs w:val="24"/>
                <w:color w:val="auto"/>
              </w:rPr>
            </w:pPr>
          </w:p>
        </w:tc>
        <w:tc>
          <w:tcPr>
            <w:tcW w:w="120" w:type="dxa"/>
            <w:vAlign w:val="bottom"/>
            <w:tcBorders>
              <w:right w:val="single" w:sz="8" w:color="B6B6B6"/>
            </w:tcBorders>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4"/>
        </w:trPr>
        <w:tc>
          <w:tcPr>
            <w:tcW w:w="20" w:type="dxa"/>
            <w:vAlign w:val="bottom"/>
            <w:shd w:val="clear" w:color="auto" w:fill="B6B6B6"/>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24"/>
                <w:szCs w:val="24"/>
                <w:color w:val="auto"/>
              </w:rPr>
            </w:pPr>
          </w:p>
        </w:tc>
        <w:tc>
          <w:tcPr>
            <w:tcW w:w="120" w:type="dxa"/>
            <w:vAlign w:val="bottom"/>
            <w:tcBorders>
              <w:right w:val="single" w:sz="8" w:color="B6B6B6"/>
            </w:tcBorders>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4"/>
        </w:trPr>
        <w:tc>
          <w:tcPr>
            <w:tcW w:w="20" w:type="dxa"/>
            <w:vAlign w:val="bottom"/>
            <w:shd w:val="clear" w:color="auto" w:fill="B6B6B6"/>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24"/>
                <w:szCs w:val="24"/>
                <w:color w:val="auto"/>
              </w:rPr>
            </w:pPr>
          </w:p>
        </w:tc>
        <w:tc>
          <w:tcPr>
            <w:tcW w:w="120" w:type="dxa"/>
            <w:vAlign w:val="bottom"/>
            <w:tcBorders>
              <w:right w:val="single" w:sz="8" w:color="B6B6B6"/>
            </w:tcBorders>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4"/>
        </w:trPr>
        <w:tc>
          <w:tcPr>
            <w:tcW w:w="20" w:type="dxa"/>
            <w:vAlign w:val="bottom"/>
            <w:shd w:val="clear" w:color="auto" w:fill="B6B6B6"/>
          </w:tcPr>
          <w:p>
            <w:pPr>
              <w:spacing w:after="0"/>
              <w:rPr>
                <w:sz w:val="23"/>
                <w:szCs w:val="2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23"/>
                <w:szCs w:val="23"/>
                <w:color w:val="auto"/>
              </w:rPr>
            </w:pPr>
          </w:p>
        </w:tc>
        <w:tc>
          <w:tcPr>
            <w:tcW w:w="120" w:type="dxa"/>
            <w:vAlign w:val="bottom"/>
            <w:tcBorders>
              <w:right w:val="single" w:sz="8" w:color="B6B6B6"/>
            </w:tcBorders>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8"/>
        </w:trPr>
        <w:tc>
          <w:tcPr>
            <w:tcW w:w="20" w:type="dxa"/>
            <w:vAlign w:val="bottom"/>
            <w:shd w:val="clear" w:color="auto" w:fill="B6B6B6"/>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B6B6B6"/>
            </w:tcBorders>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B6B6B6"/>
            </w:tcBorders>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B6B6B6"/>
          </w:tcPr>
          <w:p>
            <w:pPr>
              <w:spacing w:after="0"/>
              <w:rPr>
                <w:sz w:val="19"/>
                <w:szCs w:val="19"/>
                <w:color w:val="auto"/>
              </w:rPr>
            </w:pPr>
          </w:p>
        </w:tc>
        <w:tc>
          <w:tcPr>
            <w:tcW w:w="9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B6B6B6"/>
            </w:tcBorders>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8"/>
        </w:trPr>
        <w:tc>
          <w:tcPr>
            <w:tcW w:w="20" w:type="dxa"/>
            <w:vAlign w:val="bottom"/>
            <w:shd w:val="clear" w:color="auto" w:fill="B6B6B6"/>
          </w:tcPr>
          <w:p>
            <w:pPr>
              <w:spacing w:after="0"/>
              <w:rPr>
                <w:sz w:val="2"/>
                <w:szCs w:val="2"/>
                <w:color w:val="auto"/>
              </w:rPr>
            </w:pPr>
          </w:p>
        </w:tc>
        <w:tc>
          <w:tcPr>
            <w:tcW w:w="9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B6B6B6"/>
            </w:tcBorders>
          </w:tcPr>
          <w:p>
            <w:pPr>
              <w:spacing w:after="0"/>
              <w:rPr>
                <w:sz w:val="2"/>
                <w:szCs w:val="2"/>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B6B6B6"/>
          </w:tcPr>
          <w:p>
            <w:pPr>
              <w:spacing w:after="0"/>
              <w:rPr>
                <w:sz w:val="19"/>
                <w:szCs w:val="19"/>
                <w:color w:val="auto"/>
              </w:rPr>
            </w:pPr>
          </w:p>
        </w:tc>
        <w:tc>
          <w:tcPr>
            <w:tcW w:w="940" w:type="dxa"/>
            <w:vAlign w:val="bottom"/>
            <w:vMerge w:val="continue"/>
            <w:shd w:val="clear" w:color="auto" w:fill="FAF6EF"/>
          </w:tcPr>
          <w:p>
            <w:pPr>
              <w:spacing w:after="0"/>
              <w:rPr>
                <w:sz w:val="19"/>
                <w:szCs w:val="19"/>
                <w:color w:val="auto"/>
              </w:rPr>
            </w:pPr>
          </w:p>
        </w:tc>
        <w:tc>
          <w:tcPr>
            <w:tcW w:w="100" w:type="dxa"/>
            <w:vAlign w:val="bottom"/>
            <w:shd w:val="clear" w:color="auto" w:fill="FAF6EF"/>
          </w:tcPr>
          <w:p>
            <w:pPr>
              <w:spacing w:after="0"/>
              <w:rPr>
                <w:sz w:val="19"/>
                <w:szCs w:val="19"/>
                <w:color w:val="auto"/>
              </w:rPr>
            </w:pPr>
          </w:p>
        </w:tc>
        <w:tc>
          <w:tcPr>
            <w:tcW w:w="220" w:type="dxa"/>
            <w:vAlign w:val="bottom"/>
            <w:shd w:val="clear" w:color="auto" w:fill="FAF6EF"/>
          </w:tcPr>
          <w:p>
            <w:pPr>
              <w:spacing w:after="0"/>
              <w:rPr>
                <w:sz w:val="19"/>
                <w:szCs w:val="19"/>
                <w:color w:val="auto"/>
              </w:rPr>
            </w:pPr>
          </w:p>
        </w:tc>
        <w:tc>
          <w:tcPr>
            <w:tcW w:w="120" w:type="dxa"/>
            <w:vAlign w:val="bottom"/>
            <w:tcBorders>
              <w:right w:val="single" w:sz="8" w:color="B6B6B6"/>
            </w:tcBorders>
          </w:tcPr>
          <w:p>
            <w:pPr>
              <w:spacing w:after="0"/>
              <w:rPr>
                <w:sz w:val="19"/>
                <w:szCs w:val="19"/>
                <w:color w:val="auto"/>
              </w:rPr>
            </w:pPr>
          </w:p>
        </w:tc>
        <w:tc>
          <w:tcPr>
            <w:tcW w:w="820" w:type="dxa"/>
            <w:vAlign w:val="bottom"/>
            <w:vMerge w:val="continue"/>
          </w:tcPr>
          <w:p>
            <w:pPr>
              <w:spacing w:after="0"/>
              <w:rPr>
                <w:sz w:val="19"/>
                <w:szCs w:val="19"/>
                <w:color w:val="auto"/>
              </w:rPr>
            </w:pPr>
          </w:p>
        </w:tc>
        <w:tc>
          <w:tcPr>
            <w:tcW w:w="140" w:type="dxa"/>
            <w:vAlign w:val="bottom"/>
            <w:tcBorders>
              <w:right w:val="single" w:sz="8" w:color="B6B6B6"/>
            </w:tcBorders>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shd w:val="clear" w:color="auto" w:fill="B6B6B6"/>
          </w:tcPr>
          <w:p>
            <w:pPr>
              <w:spacing w:after="0"/>
              <w:rPr>
                <w:sz w:val="2"/>
                <w:szCs w:val="2"/>
                <w:color w:val="auto"/>
              </w:rPr>
            </w:pPr>
          </w:p>
        </w:tc>
        <w:tc>
          <w:tcPr>
            <w:tcW w:w="9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FAF6EF"/>
          </w:tcPr>
          <w:p>
            <w:pPr>
              <w:spacing w:after="0"/>
              <w:rPr>
                <w:sz w:val="2"/>
                <w:szCs w:val="2"/>
                <w:color w:val="auto"/>
              </w:rPr>
            </w:pPr>
          </w:p>
        </w:tc>
        <w:tc>
          <w:tcPr>
            <w:tcW w:w="220" w:type="dxa"/>
            <w:vAlign w:val="bottom"/>
            <w:shd w:val="clear" w:color="auto" w:fill="FAF6EF"/>
          </w:tcPr>
          <w:p>
            <w:pPr>
              <w:spacing w:after="0"/>
              <w:rPr>
                <w:sz w:val="2"/>
                <w:szCs w:val="2"/>
                <w:color w:val="auto"/>
              </w:rPr>
            </w:pPr>
          </w:p>
        </w:tc>
        <w:tc>
          <w:tcPr>
            <w:tcW w:w="120" w:type="dxa"/>
            <w:vAlign w:val="bottom"/>
            <w:tcBorders>
              <w:right w:val="single" w:sz="8" w:color="B6B6B6"/>
            </w:tcBorders>
          </w:tcPr>
          <w:p>
            <w:pPr>
              <w:spacing w:after="0"/>
              <w:rPr>
                <w:sz w:val="2"/>
                <w:szCs w:val="2"/>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B6B6B6"/>
          </w:tcPr>
          <w:p>
            <w:pPr>
              <w:spacing w:after="0"/>
              <w:rPr>
                <w:sz w:val="19"/>
                <w:szCs w:val="19"/>
                <w:color w:val="auto"/>
              </w:rPr>
            </w:pPr>
          </w:p>
        </w:tc>
        <w:tc>
          <w:tcPr>
            <w:tcW w:w="940" w:type="dxa"/>
            <w:vAlign w:val="bottom"/>
            <w:vMerge w:val="continue"/>
            <w:shd w:val="clear" w:color="auto" w:fill="FAF6EF"/>
          </w:tcPr>
          <w:p>
            <w:pPr>
              <w:spacing w:after="0"/>
              <w:rPr>
                <w:sz w:val="19"/>
                <w:szCs w:val="19"/>
                <w:color w:val="auto"/>
              </w:rPr>
            </w:pPr>
          </w:p>
        </w:tc>
        <w:tc>
          <w:tcPr>
            <w:tcW w:w="100" w:type="dxa"/>
            <w:vAlign w:val="bottom"/>
            <w:shd w:val="clear" w:color="auto" w:fill="FAF6EF"/>
          </w:tcPr>
          <w:p>
            <w:pPr>
              <w:spacing w:after="0"/>
              <w:rPr>
                <w:sz w:val="19"/>
                <w:szCs w:val="19"/>
                <w:color w:val="auto"/>
              </w:rPr>
            </w:pPr>
          </w:p>
        </w:tc>
        <w:tc>
          <w:tcPr>
            <w:tcW w:w="220" w:type="dxa"/>
            <w:vAlign w:val="bottom"/>
            <w:shd w:val="clear" w:color="auto" w:fill="FAF6EF"/>
          </w:tcPr>
          <w:p>
            <w:pPr>
              <w:spacing w:after="0"/>
              <w:rPr>
                <w:sz w:val="19"/>
                <w:szCs w:val="19"/>
                <w:color w:val="auto"/>
              </w:rPr>
            </w:pPr>
          </w:p>
        </w:tc>
        <w:tc>
          <w:tcPr>
            <w:tcW w:w="120" w:type="dxa"/>
            <w:vAlign w:val="bottom"/>
            <w:tcBorders>
              <w:right w:val="single" w:sz="8" w:color="B6B6B6"/>
            </w:tcBorders>
            <w:shd w:val="clear" w:color="auto" w:fill="FAF6EF"/>
          </w:tcPr>
          <w:p>
            <w:pPr>
              <w:spacing w:after="0"/>
              <w:rPr>
                <w:sz w:val="19"/>
                <w:szCs w:val="19"/>
                <w:color w:val="auto"/>
              </w:rPr>
            </w:pPr>
          </w:p>
        </w:tc>
        <w:tc>
          <w:tcPr>
            <w:tcW w:w="820" w:type="dxa"/>
            <w:vAlign w:val="bottom"/>
            <w:vMerge w:val="continue"/>
          </w:tcPr>
          <w:p>
            <w:pPr>
              <w:spacing w:after="0"/>
              <w:rPr>
                <w:sz w:val="19"/>
                <w:szCs w:val="19"/>
                <w:color w:val="auto"/>
              </w:rPr>
            </w:pPr>
          </w:p>
        </w:tc>
        <w:tc>
          <w:tcPr>
            <w:tcW w:w="140" w:type="dxa"/>
            <w:vAlign w:val="bottom"/>
            <w:tcBorders>
              <w:right w:val="single" w:sz="8" w:color="B6B6B6"/>
            </w:tcBorders>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shd w:val="clear" w:color="auto" w:fill="B6B6B6"/>
          </w:tcPr>
          <w:p>
            <w:pPr>
              <w:spacing w:after="0"/>
              <w:rPr>
                <w:sz w:val="2"/>
                <w:szCs w:val="2"/>
                <w:color w:val="auto"/>
              </w:rPr>
            </w:pPr>
          </w:p>
        </w:tc>
        <w:tc>
          <w:tcPr>
            <w:tcW w:w="940" w:type="dxa"/>
            <w:vAlign w:val="bottom"/>
            <w:shd w:val="clear" w:color="auto" w:fill="FAF6EF"/>
          </w:tcPr>
          <w:p>
            <w:pPr>
              <w:spacing w:after="0"/>
              <w:rPr>
                <w:sz w:val="2"/>
                <w:szCs w:val="2"/>
                <w:color w:val="auto"/>
              </w:rPr>
            </w:pPr>
          </w:p>
        </w:tc>
        <w:tc>
          <w:tcPr>
            <w:tcW w:w="100" w:type="dxa"/>
            <w:vAlign w:val="bottom"/>
            <w:shd w:val="clear" w:color="auto" w:fill="FAF6EF"/>
          </w:tcPr>
          <w:p>
            <w:pPr>
              <w:spacing w:after="0"/>
              <w:rPr>
                <w:sz w:val="2"/>
                <w:szCs w:val="2"/>
                <w:color w:val="auto"/>
              </w:rPr>
            </w:pPr>
          </w:p>
        </w:tc>
        <w:tc>
          <w:tcPr>
            <w:tcW w:w="220" w:type="dxa"/>
            <w:vAlign w:val="bottom"/>
            <w:shd w:val="clear" w:color="auto" w:fill="FAF6EF"/>
          </w:tcPr>
          <w:p>
            <w:pPr>
              <w:spacing w:after="0"/>
              <w:rPr>
                <w:sz w:val="2"/>
                <w:szCs w:val="2"/>
                <w:color w:val="auto"/>
              </w:rPr>
            </w:pPr>
          </w:p>
        </w:tc>
        <w:tc>
          <w:tcPr>
            <w:tcW w:w="120" w:type="dxa"/>
            <w:vAlign w:val="bottom"/>
            <w:tcBorders>
              <w:right w:val="single" w:sz="8" w:color="B6B6B6"/>
            </w:tcBorders>
            <w:shd w:val="clear" w:color="auto" w:fill="FAF6EF"/>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B6B6B6"/>
            </w:tcBorders>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B6B6B6"/>
          </w:tcPr>
          <w:p>
            <w:pPr>
              <w:spacing w:after="0"/>
              <w:rPr>
                <w:sz w:val="19"/>
                <w:szCs w:val="19"/>
                <w:color w:val="auto"/>
              </w:rPr>
            </w:pPr>
          </w:p>
        </w:tc>
        <w:tc>
          <w:tcPr>
            <w:tcW w:w="9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FAF6EF"/>
          </w:tcPr>
          <w:p>
            <w:pPr>
              <w:spacing w:after="0"/>
              <w:rPr>
                <w:sz w:val="19"/>
                <w:szCs w:val="19"/>
                <w:color w:val="auto"/>
              </w:rPr>
            </w:pPr>
          </w:p>
        </w:tc>
        <w:tc>
          <w:tcPr>
            <w:tcW w:w="220" w:type="dxa"/>
            <w:vAlign w:val="bottom"/>
            <w:shd w:val="clear" w:color="auto" w:fill="FAF6EF"/>
          </w:tcPr>
          <w:p>
            <w:pPr>
              <w:spacing w:after="0"/>
              <w:rPr>
                <w:sz w:val="19"/>
                <w:szCs w:val="19"/>
                <w:color w:val="auto"/>
              </w:rPr>
            </w:pPr>
          </w:p>
        </w:tc>
        <w:tc>
          <w:tcPr>
            <w:tcW w:w="120" w:type="dxa"/>
            <w:vAlign w:val="bottom"/>
            <w:tcBorders>
              <w:right w:val="single" w:sz="8" w:color="B6B6B6"/>
            </w:tcBorders>
            <w:shd w:val="clear" w:color="auto" w:fill="FAF6EF"/>
          </w:tcPr>
          <w:p>
            <w:pPr>
              <w:spacing w:after="0"/>
              <w:rPr>
                <w:sz w:val="19"/>
                <w:szCs w:val="19"/>
                <w:color w:val="auto"/>
              </w:rPr>
            </w:pPr>
          </w:p>
        </w:tc>
        <w:tc>
          <w:tcPr>
            <w:tcW w:w="8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8"/>
        </w:trPr>
        <w:tc>
          <w:tcPr>
            <w:tcW w:w="20" w:type="dxa"/>
            <w:vAlign w:val="bottom"/>
            <w:shd w:val="clear" w:color="auto" w:fill="B6B6B6"/>
          </w:tcPr>
          <w:p>
            <w:pPr>
              <w:spacing w:after="0"/>
              <w:rPr>
                <w:sz w:val="2"/>
                <w:szCs w:val="2"/>
                <w:color w:val="auto"/>
              </w:rPr>
            </w:pPr>
          </w:p>
        </w:tc>
        <w:tc>
          <w:tcPr>
            <w:tcW w:w="94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FAF6EF"/>
          </w:tcPr>
          <w:p>
            <w:pPr>
              <w:spacing w:after="0"/>
              <w:rPr>
                <w:sz w:val="2"/>
                <w:szCs w:val="2"/>
                <w:color w:val="auto"/>
              </w:rPr>
            </w:pPr>
          </w:p>
        </w:tc>
        <w:tc>
          <w:tcPr>
            <w:tcW w:w="220" w:type="dxa"/>
            <w:vAlign w:val="bottom"/>
            <w:shd w:val="clear" w:color="auto" w:fill="FAF6EF"/>
          </w:tcPr>
          <w:p>
            <w:pPr>
              <w:spacing w:after="0"/>
              <w:rPr>
                <w:sz w:val="2"/>
                <w:szCs w:val="2"/>
                <w:color w:val="auto"/>
              </w:rPr>
            </w:pPr>
          </w:p>
        </w:tc>
        <w:tc>
          <w:tcPr>
            <w:tcW w:w="120" w:type="dxa"/>
            <w:vAlign w:val="bottom"/>
            <w:tcBorders>
              <w:right w:val="single" w:sz="8" w:color="B6B6B6"/>
            </w:tcBorders>
            <w:shd w:val="clear" w:color="auto" w:fill="FAF6EF"/>
          </w:tcPr>
          <w:p>
            <w:pPr>
              <w:spacing w:after="0"/>
              <w:rPr>
                <w:sz w:val="2"/>
                <w:szCs w:val="2"/>
                <w:color w:val="auto"/>
              </w:rPr>
            </w:pPr>
          </w:p>
        </w:tc>
        <w:tc>
          <w:tcPr>
            <w:tcW w:w="8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B6B6B6"/>
          </w:tcPr>
          <w:p>
            <w:pPr>
              <w:spacing w:after="0"/>
              <w:rPr>
                <w:sz w:val="19"/>
                <w:szCs w:val="19"/>
                <w:color w:val="auto"/>
              </w:rPr>
            </w:pPr>
          </w:p>
        </w:tc>
        <w:tc>
          <w:tcPr>
            <w:tcW w:w="940" w:type="dxa"/>
            <w:vAlign w:val="bottom"/>
            <w:vMerge w:val="continue"/>
            <w:shd w:val="clear" w:color="auto" w:fill="FAF6EF"/>
          </w:tcPr>
          <w:p>
            <w:pPr>
              <w:spacing w:after="0"/>
              <w:rPr>
                <w:sz w:val="19"/>
                <w:szCs w:val="19"/>
                <w:color w:val="auto"/>
              </w:rPr>
            </w:pPr>
          </w:p>
        </w:tc>
        <w:tc>
          <w:tcPr>
            <w:tcW w:w="100" w:type="dxa"/>
            <w:vAlign w:val="bottom"/>
            <w:shd w:val="clear" w:color="auto" w:fill="FAF6EF"/>
          </w:tcPr>
          <w:p>
            <w:pPr>
              <w:spacing w:after="0"/>
              <w:rPr>
                <w:sz w:val="19"/>
                <w:szCs w:val="19"/>
                <w:color w:val="auto"/>
              </w:rPr>
            </w:pPr>
          </w:p>
        </w:tc>
        <w:tc>
          <w:tcPr>
            <w:tcW w:w="220" w:type="dxa"/>
            <w:vAlign w:val="bottom"/>
            <w:shd w:val="clear" w:color="auto" w:fill="FAF6EF"/>
          </w:tcPr>
          <w:p>
            <w:pPr>
              <w:spacing w:after="0"/>
              <w:rPr>
                <w:sz w:val="19"/>
                <w:szCs w:val="19"/>
                <w:color w:val="auto"/>
              </w:rPr>
            </w:pPr>
          </w:p>
        </w:tc>
        <w:tc>
          <w:tcPr>
            <w:tcW w:w="120" w:type="dxa"/>
            <w:vAlign w:val="bottom"/>
            <w:tcBorders>
              <w:right w:val="single" w:sz="8" w:color="B6B6B6"/>
            </w:tcBorders>
            <w:shd w:val="clear" w:color="auto" w:fill="FAF6EF"/>
          </w:tcPr>
          <w:p>
            <w:pPr>
              <w:spacing w:after="0"/>
              <w:rPr>
                <w:sz w:val="19"/>
                <w:szCs w:val="19"/>
                <w:color w:val="auto"/>
              </w:rPr>
            </w:pPr>
          </w:p>
        </w:tc>
        <w:tc>
          <w:tcPr>
            <w:tcW w:w="820" w:type="dxa"/>
            <w:vAlign w:val="bottom"/>
            <w:vMerge w:val="continue"/>
            <w:shd w:val="clear" w:color="auto" w:fill="FAF6EF"/>
          </w:tcPr>
          <w:p>
            <w:pPr>
              <w:spacing w:after="0"/>
              <w:rPr>
                <w:sz w:val="19"/>
                <w:szCs w:val="19"/>
                <w:color w:val="auto"/>
              </w:rPr>
            </w:pPr>
          </w:p>
        </w:tc>
        <w:tc>
          <w:tcPr>
            <w:tcW w:w="140" w:type="dxa"/>
            <w:vAlign w:val="bottom"/>
            <w:tcBorders>
              <w:right w:val="single" w:sz="8" w:color="B6B6B6"/>
            </w:tcBorders>
            <w:shd w:val="clear" w:color="auto" w:fill="FAF6EF"/>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shd w:val="clear" w:color="auto" w:fill="B6B6B6"/>
          </w:tcPr>
          <w:p>
            <w:pPr>
              <w:spacing w:after="0"/>
              <w:rPr>
                <w:sz w:val="2"/>
                <w:szCs w:val="2"/>
                <w:color w:val="auto"/>
              </w:rPr>
            </w:pPr>
          </w:p>
        </w:tc>
        <w:tc>
          <w:tcPr>
            <w:tcW w:w="940" w:type="dxa"/>
            <w:vAlign w:val="bottom"/>
            <w:shd w:val="clear" w:color="auto" w:fill="FAF6EF"/>
          </w:tcPr>
          <w:p>
            <w:pPr>
              <w:spacing w:after="0"/>
              <w:rPr>
                <w:sz w:val="2"/>
                <w:szCs w:val="2"/>
                <w:color w:val="auto"/>
              </w:rPr>
            </w:pPr>
          </w:p>
        </w:tc>
        <w:tc>
          <w:tcPr>
            <w:tcW w:w="100" w:type="dxa"/>
            <w:vAlign w:val="bottom"/>
            <w:shd w:val="clear" w:color="auto" w:fill="FAF6EF"/>
          </w:tcPr>
          <w:p>
            <w:pPr>
              <w:spacing w:after="0"/>
              <w:rPr>
                <w:sz w:val="2"/>
                <w:szCs w:val="2"/>
                <w:color w:val="auto"/>
              </w:rPr>
            </w:pPr>
          </w:p>
        </w:tc>
        <w:tc>
          <w:tcPr>
            <w:tcW w:w="220" w:type="dxa"/>
            <w:vAlign w:val="bottom"/>
            <w:shd w:val="clear" w:color="auto" w:fill="FAF6EF"/>
          </w:tcPr>
          <w:p>
            <w:pPr>
              <w:spacing w:after="0"/>
              <w:rPr>
                <w:sz w:val="2"/>
                <w:szCs w:val="2"/>
                <w:color w:val="auto"/>
              </w:rPr>
            </w:pPr>
          </w:p>
        </w:tc>
        <w:tc>
          <w:tcPr>
            <w:tcW w:w="120" w:type="dxa"/>
            <w:vAlign w:val="bottom"/>
            <w:tcBorders>
              <w:right w:val="single" w:sz="8" w:color="B6B6B6"/>
            </w:tcBorders>
            <w:shd w:val="clear" w:color="auto" w:fill="FAF6EF"/>
          </w:tcPr>
          <w:p>
            <w:pPr>
              <w:spacing w:after="0"/>
              <w:rPr>
                <w:sz w:val="2"/>
                <w:szCs w:val="2"/>
                <w:color w:val="auto"/>
              </w:rPr>
            </w:pPr>
          </w:p>
        </w:tc>
        <w:tc>
          <w:tcPr>
            <w:tcW w:w="820" w:type="dxa"/>
            <w:vAlign w:val="bottom"/>
            <w:shd w:val="clear" w:color="auto" w:fill="FAF6EF"/>
          </w:tcPr>
          <w:p>
            <w:pPr>
              <w:spacing w:after="0"/>
              <w:rPr>
                <w:sz w:val="2"/>
                <w:szCs w:val="2"/>
                <w:color w:val="auto"/>
              </w:rPr>
            </w:pPr>
          </w:p>
        </w:tc>
        <w:tc>
          <w:tcPr>
            <w:tcW w:w="140" w:type="dxa"/>
            <w:vAlign w:val="bottom"/>
            <w:tcBorders>
              <w:right w:val="single" w:sz="8" w:color="B6B6B6"/>
            </w:tcBorders>
            <w:shd w:val="clear" w:color="auto" w:fill="FAF6EF"/>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B6B6B6"/>
          </w:tcPr>
          <w:p>
            <w:pPr>
              <w:spacing w:after="0"/>
              <w:rPr>
                <w:sz w:val="19"/>
                <w:szCs w:val="19"/>
                <w:color w:val="auto"/>
              </w:rPr>
            </w:pPr>
          </w:p>
        </w:tc>
        <w:tc>
          <w:tcPr>
            <w:tcW w:w="9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FAF6EF"/>
          </w:tcPr>
          <w:p>
            <w:pPr>
              <w:spacing w:after="0"/>
              <w:rPr>
                <w:sz w:val="19"/>
                <w:szCs w:val="19"/>
                <w:color w:val="auto"/>
              </w:rPr>
            </w:pPr>
          </w:p>
        </w:tc>
        <w:tc>
          <w:tcPr>
            <w:tcW w:w="220" w:type="dxa"/>
            <w:vAlign w:val="bottom"/>
            <w:shd w:val="clear" w:color="auto" w:fill="FAF6EF"/>
          </w:tcPr>
          <w:p>
            <w:pPr>
              <w:spacing w:after="0"/>
              <w:rPr>
                <w:sz w:val="19"/>
                <w:szCs w:val="19"/>
                <w:color w:val="auto"/>
              </w:rPr>
            </w:pPr>
          </w:p>
        </w:tc>
        <w:tc>
          <w:tcPr>
            <w:tcW w:w="120" w:type="dxa"/>
            <w:vAlign w:val="bottom"/>
            <w:tcBorders>
              <w:right w:val="single" w:sz="8" w:color="B6B6B6"/>
            </w:tcBorders>
            <w:shd w:val="clear" w:color="auto" w:fill="FAF6EF"/>
          </w:tcPr>
          <w:p>
            <w:pPr>
              <w:spacing w:after="0"/>
              <w:rPr>
                <w:sz w:val="19"/>
                <w:szCs w:val="19"/>
                <w:color w:val="auto"/>
              </w:rPr>
            </w:pPr>
          </w:p>
        </w:tc>
        <w:tc>
          <w:tcPr>
            <w:tcW w:w="8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shd w:val="clear" w:color="auto" w:fill="FAF6EF"/>
          </w:tcPr>
          <w:p>
            <w:pPr>
              <w:spacing w:after="0"/>
              <w:rPr>
                <w:sz w:val="19"/>
                <w:szCs w:val="19"/>
                <w:color w:val="auto"/>
              </w:rPr>
            </w:pPr>
          </w:p>
        </w:tc>
        <w:tc>
          <w:tcPr>
            <w:tcW w:w="9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7"/>
        </w:trPr>
        <w:tc>
          <w:tcPr>
            <w:tcW w:w="20" w:type="dxa"/>
            <w:vAlign w:val="bottom"/>
            <w:tcBorders>
              <w:bottom w:val="single" w:sz="8" w:color="B6B6B6"/>
            </w:tcBorders>
            <w:shd w:val="clear" w:color="auto" w:fill="B6B6B6"/>
          </w:tcPr>
          <w:p>
            <w:pPr>
              <w:spacing w:after="0"/>
              <w:rPr>
                <w:sz w:val="22"/>
                <w:szCs w:val="22"/>
                <w:color w:val="auto"/>
              </w:rPr>
            </w:pPr>
          </w:p>
        </w:tc>
        <w:tc>
          <w:tcPr>
            <w:tcW w:w="94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FAF6EF"/>
            </w:tcBorders>
            <w:shd w:val="clear" w:color="auto" w:fill="FAF6EF"/>
          </w:tcPr>
          <w:p>
            <w:pPr>
              <w:spacing w:after="0"/>
              <w:rPr>
                <w:sz w:val="22"/>
                <w:szCs w:val="22"/>
                <w:color w:val="auto"/>
              </w:rPr>
            </w:pPr>
          </w:p>
        </w:tc>
        <w:tc>
          <w:tcPr>
            <w:tcW w:w="220" w:type="dxa"/>
            <w:vAlign w:val="bottom"/>
            <w:tcBorders>
              <w:bottom w:val="single" w:sz="8" w:color="FAF6EF"/>
            </w:tcBorders>
            <w:shd w:val="clear" w:color="auto" w:fill="FAF6EF"/>
          </w:tcPr>
          <w:p>
            <w:pPr>
              <w:spacing w:after="0"/>
              <w:rPr>
                <w:sz w:val="22"/>
                <w:szCs w:val="22"/>
                <w:color w:val="auto"/>
              </w:rPr>
            </w:pPr>
          </w:p>
        </w:tc>
        <w:tc>
          <w:tcPr>
            <w:tcW w:w="120" w:type="dxa"/>
            <w:vAlign w:val="bottom"/>
            <w:tcBorders>
              <w:bottom w:val="single" w:sz="8" w:color="FAF6EF"/>
              <w:right w:val="single" w:sz="8" w:color="B6B6B6"/>
            </w:tcBorders>
            <w:shd w:val="clear" w:color="auto" w:fill="FAF6EF"/>
          </w:tcPr>
          <w:p>
            <w:pPr>
              <w:spacing w:after="0"/>
              <w:rPr>
                <w:sz w:val="22"/>
                <w:szCs w:val="22"/>
                <w:color w:val="auto"/>
              </w:rPr>
            </w:pPr>
          </w:p>
        </w:tc>
        <w:tc>
          <w:tcPr>
            <w:tcW w:w="82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FAF6EF"/>
              <w:right w:val="single" w:sz="8" w:color="B6B6B6"/>
            </w:tcBorders>
            <w:shd w:val="clear" w:color="auto" w:fill="FAF6EF"/>
          </w:tcPr>
          <w:p>
            <w:pPr>
              <w:spacing w:after="0"/>
              <w:rPr>
                <w:sz w:val="22"/>
                <w:szCs w:val="22"/>
                <w:color w:val="auto"/>
              </w:rPr>
            </w:pPr>
          </w:p>
        </w:tc>
        <w:tc>
          <w:tcPr>
            <w:tcW w:w="92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20" w:type="dxa"/>
            <w:vAlign w:val="bottom"/>
            <w:shd w:val="clear" w:color="auto" w:fill="B6B6B6"/>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9"/>
                <w:szCs w:val="19"/>
                <w:color w:val="auto"/>
              </w:rPr>
            </w:pPr>
          </w:p>
        </w:tc>
        <w:tc>
          <w:tcPr>
            <w:tcW w:w="120" w:type="dxa"/>
            <w:vAlign w:val="bottom"/>
            <w:tcBorders>
              <w:right w:val="single" w:sz="8" w:color="B6B6B6"/>
            </w:tcBorders>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8"/>
        </w:trPr>
        <w:tc>
          <w:tcPr>
            <w:tcW w:w="20" w:type="dxa"/>
            <w:vAlign w:val="bottom"/>
            <w:shd w:val="clear" w:color="auto" w:fill="B6B6B6"/>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21"/>
                <w:szCs w:val="21"/>
                <w:color w:val="auto"/>
              </w:rPr>
            </w:pPr>
          </w:p>
        </w:tc>
        <w:tc>
          <w:tcPr>
            <w:tcW w:w="120" w:type="dxa"/>
            <w:vAlign w:val="bottom"/>
            <w:tcBorders>
              <w:right w:val="single" w:sz="8" w:color="B6B6B6"/>
            </w:tcBorders>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Borders>
              <w:right w:val="single" w:sz="8" w:color="B6B6B6"/>
            </w:tcBorders>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8"/>
        </w:trPr>
        <w:tc>
          <w:tcPr>
            <w:tcW w:w="20" w:type="dxa"/>
            <w:vAlign w:val="bottom"/>
            <w:shd w:val="clear" w:color="auto" w:fill="B6B6B6"/>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B6B6B6"/>
            </w:tcBorders>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B6B6B6"/>
            </w:tcBorders>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2620" w:type="dxa"/>
            <w:vAlign w:val="bottom"/>
            <w:gridSpan w:val="2"/>
          </w:tcPr>
          <w:p>
            <w:pPr>
              <w:ind w:left="1220"/>
              <w:spacing w:after="0"/>
              <w:rPr>
                <w:sz w:val="20"/>
                <w:szCs w:val="20"/>
                <w:color w:val="auto"/>
              </w:rPr>
            </w:pPr>
            <w:r>
              <w:rPr>
                <w:rFonts w:ascii="Arial" w:cs="Arial" w:eastAsia="Arial" w:hAnsi="Arial"/>
                <w:sz w:val="14"/>
                <w:szCs w:val="14"/>
                <w:b w:val="1"/>
                <w:bCs w:val="1"/>
                <w:color w:val="3C3C3C"/>
              </w:rPr>
              <w:t>Stock Awards</w:t>
            </w:r>
          </w:p>
        </w:tc>
        <w:tc>
          <w:tcPr>
            <w:tcW w:w="0" w:type="dxa"/>
            <w:vAlign w:val="bottom"/>
          </w:tcPr>
          <w:p>
            <w:pPr>
              <w:spacing w:after="0"/>
              <w:rPr>
                <w:sz w:val="1"/>
                <w:szCs w:val="1"/>
                <w:color w:val="auto"/>
              </w:rPr>
            </w:pPr>
          </w:p>
        </w:tc>
      </w:tr>
      <w:tr>
        <w:trPr>
          <w:trHeight w:val="187"/>
        </w:trPr>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jc w:val="center"/>
              <w:ind w:left="32"/>
              <w:spacing w:after="0"/>
              <w:rPr>
                <w:sz w:val="20"/>
                <w:szCs w:val="20"/>
                <w:color w:val="auto"/>
              </w:rPr>
            </w:pPr>
            <w:r>
              <w:rPr>
                <w:rFonts w:ascii="Arial" w:cs="Arial" w:eastAsia="Arial" w:hAnsi="Arial"/>
                <w:sz w:val="14"/>
                <w:szCs w:val="14"/>
                <w:b w:val="1"/>
                <w:bCs w:val="1"/>
                <w:color w:val="FFFFFF"/>
              </w:rPr>
              <w:t>Equity Incentive</w:t>
            </w:r>
          </w:p>
        </w:tc>
        <w:tc>
          <w:tcPr>
            <w:tcW w:w="0" w:type="dxa"/>
            <w:vAlign w:val="bottom"/>
          </w:tcPr>
          <w:p>
            <w:pPr>
              <w:spacing w:after="0"/>
              <w:rPr>
                <w:sz w:val="1"/>
                <w:szCs w:val="1"/>
                <w:color w:val="auto"/>
              </w:rPr>
            </w:pPr>
          </w:p>
        </w:tc>
      </w:tr>
      <w:tr>
        <w:trPr>
          <w:trHeight w:val="157"/>
        </w:trPr>
        <w:tc>
          <w:tcPr>
            <w:tcW w:w="1080" w:type="dxa"/>
            <w:vAlign w:val="bottom"/>
          </w:tcPr>
          <w:p>
            <w:pPr>
              <w:jc w:val="center"/>
              <w:spacing w:after="0" w:line="157" w:lineRule="exact"/>
              <w:rPr>
                <w:sz w:val="20"/>
                <w:szCs w:val="20"/>
                <w:color w:val="auto"/>
              </w:rPr>
            </w:pPr>
            <w:r>
              <w:rPr>
                <w:rFonts w:ascii="Arial" w:cs="Arial" w:eastAsia="Arial" w:hAnsi="Arial"/>
                <w:sz w:val="14"/>
                <w:szCs w:val="14"/>
                <w:b w:val="1"/>
                <w:bCs w:val="1"/>
                <w:color w:val="FFFFFF"/>
                <w:w w:val="97"/>
              </w:rPr>
              <w:t>Number of</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8"/>
              </w:rPr>
              <w:t>Market Value of</w:t>
            </w:r>
          </w:p>
        </w:tc>
        <w:tc>
          <w:tcPr>
            <w:tcW w:w="1300" w:type="dxa"/>
            <w:vAlign w:val="bottom"/>
          </w:tcPr>
          <w:p>
            <w:pPr>
              <w:jc w:val="center"/>
              <w:ind w:left="32"/>
              <w:spacing w:after="0" w:line="157" w:lineRule="exact"/>
              <w:rPr>
                <w:sz w:val="20"/>
                <w:szCs w:val="20"/>
                <w:color w:val="auto"/>
              </w:rPr>
            </w:pPr>
            <w:r>
              <w:rPr>
                <w:rFonts w:ascii="Arial" w:cs="Arial" w:eastAsia="Arial" w:hAnsi="Arial"/>
                <w:sz w:val="14"/>
                <w:szCs w:val="14"/>
                <w:b w:val="1"/>
                <w:bCs w:val="1"/>
                <w:color w:val="FFFFFF"/>
                <w:w w:val="99"/>
              </w:rPr>
              <w:t>Plan Awards:</w:t>
            </w:r>
          </w:p>
        </w:tc>
        <w:tc>
          <w:tcPr>
            <w:tcW w:w="0" w:type="dxa"/>
            <w:vAlign w:val="bottom"/>
          </w:tcPr>
          <w:p>
            <w:pPr>
              <w:spacing w:after="0"/>
              <w:rPr>
                <w:sz w:val="1"/>
                <w:szCs w:val="1"/>
                <w:color w:val="auto"/>
              </w:rPr>
            </w:pPr>
          </w:p>
        </w:tc>
      </w:tr>
      <w:tr>
        <w:trPr>
          <w:trHeight w:val="91"/>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Shares or Units</w:t>
            </w:r>
          </w:p>
        </w:tc>
        <w:tc>
          <w:tcPr>
            <w:tcW w:w="1320" w:type="dxa"/>
            <w:vAlign w:val="bottom"/>
            <w:vMerge w:val="continue"/>
          </w:tcPr>
          <w:p>
            <w:pPr>
              <w:spacing w:after="0"/>
              <w:rPr>
                <w:sz w:val="7"/>
                <w:szCs w:val="7"/>
                <w:color w:val="auto"/>
              </w:rPr>
            </w:pPr>
          </w:p>
        </w:tc>
        <w:tc>
          <w:tcPr>
            <w:tcW w:w="130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FFFFFF"/>
                <w:w w:val="97"/>
              </w:rPr>
              <w:t>Number of</w:t>
            </w:r>
          </w:p>
        </w:tc>
        <w:tc>
          <w:tcPr>
            <w:tcW w:w="0" w:type="dxa"/>
            <w:vAlign w:val="bottom"/>
          </w:tcPr>
          <w:p>
            <w:pPr>
              <w:spacing w:after="0"/>
              <w:rPr>
                <w:sz w:val="1"/>
                <w:szCs w:val="1"/>
                <w:color w:val="auto"/>
              </w:rPr>
            </w:pPr>
          </w:p>
        </w:tc>
      </w:tr>
      <w:tr>
        <w:trPr>
          <w:trHeight w:val="78"/>
        </w:trPr>
        <w:tc>
          <w:tcPr>
            <w:tcW w:w="1080" w:type="dxa"/>
            <w:vAlign w:val="bottom"/>
            <w:vMerge w:val="continue"/>
          </w:tcPr>
          <w:p>
            <w:pPr>
              <w:spacing w:after="0"/>
              <w:rPr>
                <w:sz w:val="6"/>
                <w:szCs w:val="6"/>
                <w:color w:val="auto"/>
              </w:rPr>
            </w:pPr>
          </w:p>
        </w:tc>
        <w:tc>
          <w:tcPr>
            <w:tcW w:w="132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FFFFFF"/>
                <w:w w:val="99"/>
              </w:rPr>
              <w:t>Shares or Units of</w:t>
            </w: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FFFFFF"/>
                <w:w w:val="99"/>
              </w:rPr>
              <w:t>of Stock That</w:t>
            </w:r>
          </w:p>
        </w:tc>
        <w:tc>
          <w:tcPr>
            <w:tcW w:w="1320" w:type="dxa"/>
            <w:vAlign w:val="bottom"/>
            <w:vMerge w:val="continue"/>
          </w:tcPr>
          <w:p>
            <w:pPr>
              <w:spacing w:after="0"/>
              <w:rPr>
                <w:sz w:val="13"/>
                <w:szCs w:val="13"/>
                <w:color w:val="auto"/>
              </w:rPr>
            </w:pPr>
          </w:p>
        </w:tc>
        <w:tc>
          <w:tcPr>
            <w:tcW w:w="1300" w:type="dxa"/>
            <w:vAlign w:val="bottom"/>
          </w:tcPr>
          <w:p>
            <w:pPr>
              <w:jc w:val="center"/>
              <w:ind w:left="32"/>
              <w:spacing w:after="0" w:line="153" w:lineRule="exact"/>
              <w:rPr>
                <w:sz w:val="20"/>
                <w:szCs w:val="20"/>
                <w:color w:val="auto"/>
              </w:rPr>
            </w:pPr>
            <w:r>
              <w:rPr>
                <w:rFonts w:ascii="Arial" w:cs="Arial" w:eastAsia="Arial" w:hAnsi="Arial"/>
                <w:sz w:val="14"/>
                <w:szCs w:val="14"/>
                <w:b w:val="1"/>
                <w:bCs w:val="1"/>
                <w:color w:val="FFFFFF"/>
              </w:rPr>
              <w:t>Unearned Shares,</w:t>
            </w:r>
          </w:p>
        </w:tc>
        <w:tc>
          <w:tcPr>
            <w:tcW w:w="0" w:type="dxa"/>
            <w:vAlign w:val="bottom"/>
          </w:tcPr>
          <w:p>
            <w:pPr>
              <w:spacing w:after="0"/>
              <w:rPr>
                <w:sz w:val="1"/>
                <w:szCs w:val="1"/>
                <w:color w:val="auto"/>
              </w:rPr>
            </w:pPr>
          </w:p>
        </w:tc>
      </w:tr>
      <w:tr>
        <w:trPr>
          <w:trHeight w:val="106"/>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8"/>
              </w:rPr>
              <w:t>Have Not</w:t>
            </w:r>
          </w:p>
        </w:tc>
        <w:tc>
          <w:tcPr>
            <w:tcW w:w="1320" w:type="dxa"/>
            <w:vAlign w:val="bottom"/>
          </w:tcPr>
          <w:p>
            <w:pPr>
              <w:jc w:val="center"/>
              <w:spacing w:after="0" w:line="106" w:lineRule="exact"/>
              <w:rPr>
                <w:sz w:val="20"/>
                <w:szCs w:val="20"/>
                <w:color w:val="auto"/>
              </w:rPr>
            </w:pPr>
            <w:r>
              <w:rPr>
                <w:rFonts w:ascii="Arial" w:cs="Arial" w:eastAsia="Arial" w:hAnsi="Arial"/>
                <w:sz w:val="12"/>
                <w:szCs w:val="12"/>
                <w:b w:val="1"/>
                <w:bCs w:val="1"/>
                <w:color w:val="FFFFFF"/>
              </w:rPr>
              <w:t>Stock That Have</w:t>
            </w:r>
          </w:p>
        </w:tc>
        <w:tc>
          <w:tcPr>
            <w:tcW w:w="130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FFFFFF"/>
                <w:w w:val="97"/>
              </w:rPr>
              <w:t>Units or Other</w:t>
            </w:r>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3"/>
                <w:szCs w:val="13"/>
                <w:b w:val="1"/>
                <w:bCs w:val="1"/>
                <w:color w:val="FFFFFF"/>
                <w:w w:val="99"/>
              </w:rPr>
              <w:t>Not Vested</w:t>
            </w:r>
            <w:r>
              <w:rPr>
                <w:rFonts w:ascii="Arial" w:cs="Arial" w:eastAsia="Arial" w:hAnsi="Arial"/>
                <w:sz w:val="16"/>
                <w:szCs w:val="16"/>
                <w:b w:val="1"/>
                <w:bCs w:val="1"/>
                <w:color w:val="FFFFFF"/>
                <w:w w:val="99"/>
                <w:vertAlign w:val="superscript"/>
              </w:rPr>
              <w:t>(1)(2)</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080" w:type="dxa"/>
            <w:vAlign w:val="bottom"/>
          </w:tcPr>
          <w:p>
            <w:pPr>
              <w:jc w:val="center"/>
              <w:spacing w:after="0" w:line="109" w:lineRule="exact"/>
              <w:rPr>
                <w:sz w:val="20"/>
                <w:szCs w:val="20"/>
                <w:color w:val="auto"/>
              </w:rPr>
            </w:pPr>
            <w:r>
              <w:rPr>
                <w:rFonts w:ascii="Arial" w:cs="Arial" w:eastAsia="Arial" w:hAnsi="Arial"/>
                <w:sz w:val="12"/>
                <w:szCs w:val="12"/>
                <w:b w:val="1"/>
                <w:bCs w:val="1"/>
                <w:color w:val="FFFFFF"/>
              </w:rPr>
              <w:t>Vested</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w:t>
            </w:r>
          </w:p>
        </w:tc>
        <w:tc>
          <w:tcPr>
            <w:tcW w:w="1300" w:type="dxa"/>
            <w:vAlign w:val="bottom"/>
          </w:tcPr>
          <w:p>
            <w:pPr>
              <w:jc w:val="center"/>
              <w:ind w:left="32"/>
              <w:spacing w:after="0" w:line="109" w:lineRule="exact"/>
              <w:rPr>
                <w:sz w:val="20"/>
                <w:szCs w:val="20"/>
                <w:color w:val="auto"/>
              </w:rPr>
            </w:pPr>
            <w:r>
              <w:rPr>
                <w:rFonts w:ascii="Arial" w:cs="Arial" w:eastAsia="Arial" w:hAnsi="Arial"/>
                <w:sz w:val="12"/>
                <w:szCs w:val="12"/>
                <w:b w:val="1"/>
                <w:bCs w:val="1"/>
                <w:color w:val="FFFFFF"/>
              </w:rPr>
              <w:t>Rights That Have</w:t>
            </w:r>
          </w:p>
        </w:tc>
        <w:tc>
          <w:tcPr>
            <w:tcW w:w="0" w:type="dxa"/>
            <w:vAlign w:val="bottom"/>
          </w:tcPr>
          <w:p>
            <w:pPr>
              <w:spacing w:after="0"/>
              <w:rPr>
                <w:sz w:val="1"/>
                <w:szCs w:val="1"/>
                <w:color w:val="auto"/>
              </w:rPr>
            </w:pPr>
          </w:p>
        </w:tc>
      </w:tr>
      <w:tr>
        <w:trPr>
          <w:trHeight w:val="114"/>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3"/>
              </w:rPr>
              <w:t>(#)</w:t>
            </w:r>
          </w:p>
        </w:tc>
        <w:tc>
          <w:tcPr>
            <w:tcW w:w="1320" w:type="dxa"/>
            <w:vAlign w:val="bottom"/>
            <w:vMerge w:val="continue"/>
          </w:tcPr>
          <w:p>
            <w:pPr>
              <w:spacing w:after="0"/>
              <w:rPr>
                <w:sz w:val="9"/>
                <w:szCs w:val="9"/>
                <w:color w:val="auto"/>
              </w:rPr>
            </w:pPr>
          </w:p>
        </w:tc>
        <w:tc>
          <w:tcPr>
            <w:tcW w:w="130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FFFFFF"/>
                <w:w w:val="98"/>
              </w:rPr>
              <w:t>Not Vested</w:t>
            </w:r>
          </w:p>
        </w:tc>
        <w:tc>
          <w:tcPr>
            <w:tcW w:w="0" w:type="dxa"/>
            <w:vAlign w:val="bottom"/>
          </w:tcPr>
          <w:p>
            <w:pPr>
              <w:spacing w:after="0"/>
              <w:rPr>
                <w:sz w:val="1"/>
                <w:szCs w:val="1"/>
                <w:color w:val="auto"/>
              </w:rPr>
            </w:pPr>
          </w:p>
        </w:tc>
      </w:tr>
      <w:tr>
        <w:trPr>
          <w:trHeight w:val="56"/>
        </w:trPr>
        <w:tc>
          <w:tcPr>
            <w:tcW w:w="108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jc w:val="center"/>
              <w:ind w:left="32"/>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-870585</wp:posOffset>
            </wp:positionV>
            <wp:extent cx="7103745" cy="4448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3745" cy="444817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52"/>
        </w:trPr>
        <w:tc>
          <w:tcPr>
            <w:tcW w:w="58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380" w:type="dxa"/>
            <w:vAlign w:val="bottom"/>
            <w:tcBorders>
              <w:right w:val="single" w:sz="8" w:color="B6B6B6"/>
            </w:tcBorders>
          </w:tcPr>
          <w:p>
            <w:pPr>
              <w:spacing w:after="0"/>
              <w:rPr>
                <w:sz w:val="21"/>
                <w:szCs w:val="21"/>
                <w:color w:val="auto"/>
              </w:rPr>
            </w:pPr>
          </w:p>
        </w:tc>
        <w:tc>
          <w:tcPr>
            <w:tcW w:w="1380" w:type="dxa"/>
            <w:vAlign w:val="bottom"/>
            <w:tcBorders>
              <w:right w:val="single" w:sz="8" w:color="B6B6B6"/>
            </w:tcBorders>
          </w:tcPr>
          <w:p>
            <w:pPr>
              <w:jc w:val="center"/>
              <w:ind w:right="22"/>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78"/>
        </w:trPr>
        <w:tc>
          <w:tcPr>
            <w:tcW w:w="580" w:type="dxa"/>
            <w:vAlign w:val="bottom"/>
            <w:vMerge w:val="restart"/>
          </w:tcPr>
          <w:p>
            <w:pPr>
              <w:jc w:val="center"/>
              <w:ind w:right="22"/>
              <w:spacing w:after="0"/>
              <w:rPr>
                <w:sz w:val="20"/>
                <w:szCs w:val="20"/>
                <w:color w:val="auto"/>
              </w:rPr>
            </w:pPr>
            <w:r>
              <w:rPr>
                <w:rFonts w:ascii="Arial" w:cs="Arial" w:eastAsia="Arial" w:hAnsi="Arial"/>
                <w:sz w:val="16"/>
                <w:szCs w:val="16"/>
                <w:color w:val="auto"/>
                <w:w w:val="98"/>
              </w:rPr>
              <w:t>16,000</w:t>
            </w:r>
          </w:p>
        </w:tc>
        <w:tc>
          <w:tcPr>
            <w:tcW w:w="380" w:type="dxa"/>
            <w:vAlign w:val="bottom"/>
            <w:tcBorders>
              <w:right w:val="single" w:sz="8" w:color="B6B6B6"/>
            </w:tcBorders>
          </w:tcPr>
          <w:p>
            <w:pPr>
              <w:jc w:val="center"/>
              <w:spacing w:after="0"/>
              <w:rPr>
                <w:sz w:val="20"/>
                <w:szCs w:val="20"/>
                <w:color w:val="auto"/>
              </w:rPr>
            </w:pPr>
            <w:r>
              <w:rPr>
                <w:rFonts w:ascii="Arial" w:cs="Arial" w:eastAsia="Arial" w:hAnsi="Arial"/>
                <w:sz w:val="10"/>
                <w:szCs w:val="10"/>
                <w:color w:val="auto"/>
                <w:w w:val="97"/>
              </w:rPr>
              <w:t>(4)</w:t>
            </w:r>
          </w:p>
        </w:tc>
        <w:tc>
          <w:tcPr>
            <w:tcW w:w="1380" w:type="dxa"/>
            <w:vAlign w:val="bottom"/>
            <w:tcBorders>
              <w:right w:val="single" w:sz="8" w:color="B6B6B6"/>
            </w:tcBorders>
            <w:vMerge w:val="restart"/>
          </w:tcPr>
          <w:p>
            <w:pPr>
              <w:jc w:val="center"/>
              <w:ind w:right="22"/>
              <w:spacing w:after="0"/>
              <w:rPr>
                <w:sz w:val="20"/>
                <w:szCs w:val="20"/>
                <w:color w:val="auto"/>
              </w:rPr>
            </w:pPr>
            <w:r>
              <w:rPr>
                <w:rFonts w:ascii="Arial" w:cs="Arial" w:eastAsia="Arial" w:hAnsi="Arial"/>
                <w:sz w:val="16"/>
                <w:szCs w:val="16"/>
                <w:color w:val="auto"/>
                <w:w w:val="95"/>
              </w:rPr>
              <w:t>2,114,240</w:t>
            </w:r>
          </w:p>
        </w:tc>
        <w:tc>
          <w:tcPr>
            <w:tcW w:w="880" w:type="dxa"/>
            <w:vAlign w:val="bottom"/>
            <w:vMerge w:val="restart"/>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36"/>
        </w:trPr>
        <w:tc>
          <w:tcPr>
            <w:tcW w:w="580" w:type="dxa"/>
            <w:vAlign w:val="bottom"/>
            <w:vMerge w:val="continue"/>
          </w:tcPr>
          <w:p>
            <w:pPr>
              <w:spacing w:after="0"/>
              <w:rPr>
                <w:sz w:val="11"/>
                <w:szCs w:val="11"/>
                <w:color w:val="auto"/>
              </w:rPr>
            </w:pPr>
          </w:p>
        </w:tc>
        <w:tc>
          <w:tcPr>
            <w:tcW w:w="380" w:type="dxa"/>
            <w:vAlign w:val="bottom"/>
            <w:tcBorders>
              <w:right w:val="single" w:sz="8" w:color="B6B6B6"/>
            </w:tcBorders>
          </w:tcPr>
          <w:p>
            <w:pPr>
              <w:spacing w:after="0"/>
              <w:rPr>
                <w:sz w:val="11"/>
                <w:szCs w:val="11"/>
                <w:color w:val="auto"/>
              </w:rPr>
            </w:pPr>
          </w:p>
        </w:tc>
        <w:tc>
          <w:tcPr>
            <w:tcW w:w="1380" w:type="dxa"/>
            <w:vAlign w:val="bottom"/>
            <w:tcBorders>
              <w:right w:val="single" w:sz="8" w:color="B6B6B6"/>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80" w:type="dxa"/>
            <w:vAlign w:val="bottom"/>
            <w:vMerge w:val="restart"/>
          </w:tcPr>
          <w:p>
            <w:pPr>
              <w:jc w:val="center"/>
              <w:ind w:right="22"/>
              <w:spacing w:after="0"/>
              <w:rPr>
                <w:sz w:val="20"/>
                <w:szCs w:val="20"/>
                <w:color w:val="auto"/>
              </w:rPr>
            </w:pPr>
            <w:r>
              <w:rPr>
                <w:rFonts w:ascii="Arial" w:cs="Arial" w:eastAsia="Arial" w:hAnsi="Arial"/>
                <w:sz w:val="16"/>
                <w:szCs w:val="16"/>
                <w:color w:val="auto"/>
                <w:w w:val="98"/>
              </w:rPr>
              <w:t>26,400</w:t>
            </w:r>
          </w:p>
        </w:tc>
        <w:tc>
          <w:tcPr>
            <w:tcW w:w="380" w:type="dxa"/>
            <w:vAlign w:val="bottom"/>
            <w:tcBorders>
              <w:right w:val="single" w:sz="8" w:color="B6B6B6"/>
            </w:tcBorders>
          </w:tcPr>
          <w:p>
            <w:pPr>
              <w:jc w:val="center"/>
              <w:spacing w:after="0"/>
              <w:rPr>
                <w:sz w:val="20"/>
                <w:szCs w:val="20"/>
                <w:color w:val="auto"/>
              </w:rPr>
            </w:pPr>
            <w:r>
              <w:rPr>
                <w:rFonts w:ascii="Arial" w:cs="Arial" w:eastAsia="Arial" w:hAnsi="Arial"/>
                <w:sz w:val="10"/>
                <w:szCs w:val="10"/>
                <w:color w:val="auto"/>
                <w:w w:val="97"/>
              </w:rPr>
              <w:t>(5)</w:t>
            </w:r>
          </w:p>
        </w:tc>
        <w:tc>
          <w:tcPr>
            <w:tcW w:w="1380" w:type="dxa"/>
            <w:vAlign w:val="bottom"/>
            <w:tcBorders>
              <w:right w:val="single" w:sz="8" w:color="B6B6B6"/>
            </w:tcBorders>
            <w:vMerge w:val="restart"/>
          </w:tcPr>
          <w:p>
            <w:pPr>
              <w:jc w:val="center"/>
              <w:ind w:right="42"/>
              <w:spacing w:after="0"/>
              <w:rPr>
                <w:sz w:val="20"/>
                <w:szCs w:val="20"/>
                <w:color w:val="auto"/>
              </w:rPr>
            </w:pPr>
            <w:r>
              <w:rPr>
                <w:rFonts w:ascii="Arial" w:cs="Arial" w:eastAsia="Arial" w:hAnsi="Arial"/>
                <w:sz w:val="16"/>
                <w:szCs w:val="16"/>
                <w:color w:val="auto"/>
                <w:w w:val="98"/>
              </w:rPr>
              <w:t>3,488,496</w:t>
            </w:r>
          </w:p>
        </w:tc>
        <w:tc>
          <w:tcPr>
            <w:tcW w:w="880" w:type="dxa"/>
            <w:vAlign w:val="bottom"/>
            <w:vMerge w:val="restart"/>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36"/>
        </w:trPr>
        <w:tc>
          <w:tcPr>
            <w:tcW w:w="580" w:type="dxa"/>
            <w:vAlign w:val="bottom"/>
            <w:vMerge w:val="continue"/>
          </w:tcPr>
          <w:p>
            <w:pPr>
              <w:spacing w:after="0"/>
              <w:rPr>
                <w:sz w:val="11"/>
                <w:szCs w:val="11"/>
                <w:color w:val="auto"/>
              </w:rPr>
            </w:pPr>
          </w:p>
        </w:tc>
        <w:tc>
          <w:tcPr>
            <w:tcW w:w="380" w:type="dxa"/>
            <w:vAlign w:val="bottom"/>
            <w:tcBorders>
              <w:right w:val="single" w:sz="8" w:color="B6B6B6"/>
            </w:tcBorders>
          </w:tcPr>
          <w:p>
            <w:pPr>
              <w:spacing w:after="0"/>
              <w:rPr>
                <w:sz w:val="11"/>
                <w:szCs w:val="11"/>
                <w:color w:val="auto"/>
              </w:rPr>
            </w:pPr>
          </w:p>
        </w:tc>
        <w:tc>
          <w:tcPr>
            <w:tcW w:w="1380" w:type="dxa"/>
            <w:vAlign w:val="bottom"/>
            <w:tcBorders>
              <w:right w:val="single" w:sz="8" w:color="B6B6B6"/>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4"/>
        </w:trPr>
        <w:tc>
          <w:tcPr>
            <w:tcW w:w="58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380" w:type="dxa"/>
            <w:vAlign w:val="bottom"/>
            <w:tcBorders>
              <w:right w:val="single" w:sz="8" w:color="B6B6B6"/>
            </w:tcBorders>
          </w:tcPr>
          <w:p>
            <w:pPr>
              <w:spacing w:after="0"/>
              <w:rPr>
                <w:sz w:val="24"/>
                <w:szCs w:val="24"/>
                <w:color w:val="auto"/>
              </w:rPr>
            </w:pPr>
          </w:p>
        </w:tc>
        <w:tc>
          <w:tcPr>
            <w:tcW w:w="1380" w:type="dxa"/>
            <w:vAlign w:val="bottom"/>
            <w:tcBorders>
              <w:right w:val="single" w:sz="8" w:color="B6B6B6"/>
            </w:tcBorders>
          </w:tcPr>
          <w:p>
            <w:pPr>
              <w:jc w:val="center"/>
              <w:ind w:right="22"/>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left="322"/>
              <w:spacing w:after="0"/>
              <w:rPr>
                <w:sz w:val="20"/>
                <w:szCs w:val="20"/>
                <w:color w:val="auto"/>
              </w:rPr>
            </w:pPr>
            <w:r>
              <w:rPr>
                <w:rFonts w:ascii="Arial" w:cs="Arial" w:eastAsia="Arial" w:hAnsi="Arial"/>
                <w:sz w:val="16"/>
                <w:szCs w:val="16"/>
                <w:color w:val="auto"/>
                <w:w w:val="98"/>
              </w:rPr>
              <w:t>26,400</w:t>
            </w:r>
          </w:p>
        </w:tc>
        <w:tc>
          <w:tcPr>
            <w:tcW w:w="0" w:type="dxa"/>
            <w:vAlign w:val="bottom"/>
          </w:tcPr>
          <w:p>
            <w:pPr>
              <w:spacing w:after="0"/>
              <w:rPr>
                <w:sz w:val="1"/>
                <w:szCs w:val="1"/>
                <w:color w:val="auto"/>
              </w:rPr>
            </w:pPr>
          </w:p>
        </w:tc>
      </w:tr>
      <w:tr>
        <w:trPr>
          <w:trHeight w:val="314"/>
        </w:trPr>
        <w:tc>
          <w:tcPr>
            <w:tcW w:w="58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380" w:type="dxa"/>
            <w:vAlign w:val="bottom"/>
            <w:tcBorders>
              <w:right w:val="single" w:sz="8" w:color="B6B6B6"/>
            </w:tcBorders>
          </w:tcPr>
          <w:p>
            <w:pPr>
              <w:spacing w:after="0"/>
              <w:rPr>
                <w:sz w:val="24"/>
                <w:szCs w:val="24"/>
                <w:color w:val="auto"/>
              </w:rPr>
            </w:pPr>
          </w:p>
        </w:tc>
        <w:tc>
          <w:tcPr>
            <w:tcW w:w="1380" w:type="dxa"/>
            <w:vAlign w:val="bottom"/>
            <w:tcBorders>
              <w:right w:val="single" w:sz="8" w:color="B6B6B6"/>
            </w:tcBorders>
          </w:tcPr>
          <w:p>
            <w:pPr>
              <w:jc w:val="center"/>
              <w:ind w:right="22"/>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left="322"/>
              <w:spacing w:after="0"/>
              <w:rPr>
                <w:sz w:val="20"/>
                <w:szCs w:val="20"/>
                <w:color w:val="auto"/>
              </w:rPr>
            </w:pPr>
            <w:r>
              <w:rPr>
                <w:rFonts w:ascii="Arial" w:cs="Arial" w:eastAsia="Arial" w:hAnsi="Arial"/>
                <w:sz w:val="16"/>
                <w:szCs w:val="16"/>
                <w:color w:val="auto"/>
                <w:w w:val="98"/>
              </w:rPr>
              <w:t>27,200</w:t>
            </w:r>
          </w:p>
        </w:tc>
        <w:tc>
          <w:tcPr>
            <w:tcW w:w="0" w:type="dxa"/>
            <w:vAlign w:val="bottom"/>
          </w:tcPr>
          <w:p>
            <w:pPr>
              <w:spacing w:after="0"/>
              <w:rPr>
                <w:sz w:val="1"/>
                <w:szCs w:val="1"/>
                <w:color w:val="auto"/>
              </w:rPr>
            </w:pPr>
          </w:p>
        </w:tc>
      </w:tr>
      <w:tr>
        <w:trPr>
          <w:trHeight w:val="178"/>
        </w:trPr>
        <w:tc>
          <w:tcPr>
            <w:tcW w:w="580" w:type="dxa"/>
            <w:vAlign w:val="bottom"/>
            <w:vMerge w:val="restart"/>
          </w:tcPr>
          <w:p>
            <w:pPr>
              <w:jc w:val="center"/>
              <w:ind w:right="22"/>
              <w:spacing w:after="0"/>
              <w:rPr>
                <w:sz w:val="20"/>
                <w:szCs w:val="20"/>
                <w:color w:val="auto"/>
              </w:rPr>
            </w:pPr>
            <w:r>
              <w:rPr>
                <w:rFonts w:ascii="Arial" w:cs="Arial" w:eastAsia="Arial" w:hAnsi="Arial"/>
                <w:sz w:val="16"/>
                <w:szCs w:val="16"/>
                <w:color w:val="auto"/>
                <w:w w:val="99"/>
              </w:rPr>
              <w:t>5,200</w:t>
            </w:r>
          </w:p>
        </w:tc>
        <w:tc>
          <w:tcPr>
            <w:tcW w:w="380" w:type="dxa"/>
            <w:vAlign w:val="bottom"/>
            <w:tcBorders>
              <w:right w:val="single" w:sz="8" w:color="B6B6B6"/>
            </w:tcBorders>
          </w:tcPr>
          <w:p>
            <w:pPr>
              <w:jc w:val="center"/>
              <w:spacing w:after="0"/>
              <w:rPr>
                <w:sz w:val="20"/>
                <w:szCs w:val="20"/>
                <w:color w:val="auto"/>
              </w:rPr>
            </w:pPr>
            <w:r>
              <w:rPr>
                <w:rFonts w:ascii="Arial" w:cs="Arial" w:eastAsia="Arial" w:hAnsi="Arial"/>
                <w:sz w:val="10"/>
                <w:szCs w:val="10"/>
                <w:color w:val="auto"/>
                <w:w w:val="97"/>
              </w:rPr>
              <w:t>(4)</w:t>
            </w:r>
          </w:p>
        </w:tc>
        <w:tc>
          <w:tcPr>
            <w:tcW w:w="1380" w:type="dxa"/>
            <w:vAlign w:val="bottom"/>
            <w:tcBorders>
              <w:right w:val="single" w:sz="8" w:color="B6B6B6"/>
            </w:tcBorders>
            <w:vMerge w:val="restart"/>
          </w:tcPr>
          <w:p>
            <w:pPr>
              <w:jc w:val="center"/>
              <w:ind w:right="22"/>
              <w:spacing w:after="0"/>
              <w:rPr>
                <w:sz w:val="20"/>
                <w:szCs w:val="20"/>
                <w:color w:val="auto"/>
              </w:rPr>
            </w:pPr>
            <w:r>
              <w:rPr>
                <w:rFonts w:ascii="Arial" w:cs="Arial" w:eastAsia="Arial" w:hAnsi="Arial"/>
                <w:sz w:val="16"/>
                <w:szCs w:val="16"/>
                <w:color w:val="auto"/>
                <w:w w:val="96"/>
              </w:rPr>
              <w:t>687,128</w:t>
            </w:r>
          </w:p>
        </w:tc>
        <w:tc>
          <w:tcPr>
            <w:tcW w:w="880" w:type="dxa"/>
            <w:vAlign w:val="bottom"/>
            <w:vMerge w:val="restart"/>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36"/>
        </w:trPr>
        <w:tc>
          <w:tcPr>
            <w:tcW w:w="580" w:type="dxa"/>
            <w:vAlign w:val="bottom"/>
            <w:vMerge w:val="continue"/>
          </w:tcPr>
          <w:p>
            <w:pPr>
              <w:spacing w:after="0"/>
              <w:rPr>
                <w:sz w:val="11"/>
                <w:szCs w:val="11"/>
                <w:color w:val="auto"/>
              </w:rPr>
            </w:pPr>
          </w:p>
        </w:tc>
        <w:tc>
          <w:tcPr>
            <w:tcW w:w="380" w:type="dxa"/>
            <w:vAlign w:val="bottom"/>
            <w:tcBorders>
              <w:right w:val="single" w:sz="8" w:color="B6B6B6"/>
            </w:tcBorders>
          </w:tcPr>
          <w:p>
            <w:pPr>
              <w:spacing w:after="0"/>
              <w:rPr>
                <w:sz w:val="11"/>
                <w:szCs w:val="11"/>
                <w:color w:val="auto"/>
              </w:rPr>
            </w:pPr>
          </w:p>
        </w:tc>
        <w:tc>
          <w:tcPr>
            <w:tcW w:w="1380" w:type="dxa"/>
            <w:vAlign w:val="bottom"/>
            <w:tcBorders>
              <w:right w:val="single" w:sz="8" w:color="B6B6B6"/>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80" w:type="dxa"/>
            <w:vAlign w:val="bottom"/>
            <w:vMerge w:val="restart"/>
          </w:tcPr>
          <w:p>
            <w:pPr>
              <w:jc w:val="center"/>
              <w:ind w:right="22"/>
              <w:spacing w:after="0"/>
              <w:rPr>
                <w:sz w:val="20"/>
                <w:szCs w:val="20"/>
                <w:color w:val="auto"/>
              </w:rPr>
            </w:pPr>
            <w:r>
              <w:rPr>
                <w:rFonts w:ascii="Arial" w:cs="Arial" w:eastAsia="Arial" w:hAnsi="Arial"/>
                <w:sz w:val="16"/>
                <w:szCs w:val="16"/>
                <w:color w:val="auto"/>
                <w:w w:val="99"/>
              </w:rPr>
              <w:t>8,580</w:t>
            </w:r>
          </w:p>
        </w:tc>
        <w:tc>
          <w:tcPr>
            <w:tcW w:w="380" w:type="dxa"/>
            <w:vAlign w:val="bottom"/>
            <w:tcBorders>
              <w:right w:val="single" w:sz="8" w:color="B6B6B6"/>
            </w:tcBorders>
          </w:tcPr>
          <w:p>
            <w:pPr>
              <w:jc w:val="center"/>
              <w:spacing w:after="0"/>
              <w:rPr>
                <w:sz w:val="20"/>
                <w:szCs w:val="20"/>
                <w:color w:val="auto"/>
              </w:rPr>
            </w:pPr>
            <w:r>
              <w:rPr>
                <w:rFonts w:ascii="Arial" w:cs="Arial" w:eastAsia="Arial" w:hAnsi="Arial"/>
                <w:sz w:val="10"/>
                <w:szCs w:val="10"/>
                <w:color w:val="auto"/>
                <w:w w:val="97"/>
              </w:rPr>
              <w:t>(5)</w:t>
            </w:r>
          </w:p>
        </w:tc>
        <w:tc>
          <w:tcPr>
            <w:tcW w:w="1380" w:type="dxa"/>
            <w:vAlign w:val="bottom"/>
            <w:tcBorders>
              <w:right w:val="single" w:sz="8" w:color="B6B6B6"/>
            </w:tcBorders>
            <w:vMerge w:val="restart"/>
          </w:tcPr>
          <w:p>
            <w:pPr>
              <w:jc w:val="center"/>
              <w:ind w:right="42"/>
              <w:spacing w:after="0"/>
              <w:rPr>
                <w:sz w:val="20"/>
                <w:szCs w:val="20"/>
                <w:color w:val="auto"/>
              </w:rPr>
            </w:pPr>
            <w:r>
              <w:rPr>
                <w:rFonts w:ascii="Arial" w:cs="Arial" w:eastAsia="Arial" w:hAnsi="Arial"/>
                <w:sz w:val="16"/>
                <w:szCs w:val="16"/>
                <w:color w:val="auto"/>
                <w:w w:val="98"/>
              </w:rPr>
              <w:t>1,133,761</w:t>
            </w:r>
          </w:p>
        </w:tc>
        <w:tc>
          <w:tcPr>
            <w:tcW w:w="880" w:type="dxa"/>
            <w:vAlign w:val="bottom"/>
            <w:vMerge w:val="restart"/>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36"/>
        </w:trPr>
        <w:tc>
          <w:tcPr>
            <w:tcW w:w="580" w:type="dxa"/>
            <w:vAlign w:val="bottom"/>
            <w:vMerge w:val="continue"/>
          </w:tcPr>
          <w:p>
            <w:pPr>
              <w:spacing w:after="0"/>
              <w:rPr>
                <w:sz w:val="11"/>
                <w:szCs w:val="11"/>
                <w:color w:val="auto"/>
              </w:rPr>
            </w:pPr>
          </w:p>
        </w:tc>
        <w:tc>
          <w:tcPr>
            <w:tcW w:w="380" w:type="dxa"/>
            <w:vAlign w:val="bottom"/>
            <w:tcBorders>
              <w:right w:val="single" w:sz="8" w:color="B6B6B6"/>
            </w:tcBorders>
          </w:tcPr>
          <w:p>
            <w:pPr>
              <w:spacing w:after="0"/>
              <w:rPr>
                <w:sz w:val="11"/>
                <w:szCs w:val="11"/>
                <w:color w:val="auto"/>
              </w:rPr>
            </w:pPr>
          </w:p>
        </w:tc>
        <w:tc>
          <w:tcPr>
            <w:tcW w:w="1380" w:type="dxa"/>
            <w:vAlign w:val="bottom"/>
            <w:tcBorders>
              <w:right w:val="single" w:sz="8" w:color="B6B6B6"/>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80" w:type="dxa"/>
            <w:vAlign w:val="bottom"/>
            <w:vMerge w:val="restart"/>
          </w:tcPr>
          <w:p>
            <w:pPr>
              <w:jc w:val="center"/>
              <w:ind w:right="22"/>
              <w:spacing w:after="0"/>
              <w:rPr>
                <w:sz w:val="20"/>
                <w:szCs w:val="20"/>
                <w:color w:val="auto"/>
              </w:rPr>
            </w:pPr>
            <w:r>
              <w:rPr>
                <w:rFonts w:ascii="Arial" w:cs="Arial" w:eastAsia="Arial" w:hAnsi="Arial"/>
                <w:sz w:val="16"/>
                <w:szCs w:val="16"/>
                <w:color w:val="auto"/>
                <w:w w:val="98"/>
              </w:rPr>
              <w:t>22,500</w:t>
            </w:r>
          </w:p>
        </w:tc>
        <w:tc>
          <w:tcPr>
            <w:tcW w:w="380" w:type="dxa"/>
            <w:vAlign w:val="bottom"/>
            <w:tcBorders>
              <w:right w:val="single" w:sz="8" w:color="B6B6B6"/>
            </w:tcBorders>
          </w:tcPr>
          <w:p>
            <w:pPr>
              <w:jc w:val="center"/>
              <w:spacing w:after="0"/>
              <w:rPr>
                <w:sz w:val="20"/>
                <w:szCs w:val="20"/>
                <w:color w:val="auto"/>
              </w:rPr>
            </w:pPr>
            <w:r>
              <w:rPr>
                <w:rFonts w:ascii="Arial" w:cs="Arial" w:eastAsia="Arial" w:hAnsi="Arial"/>
                <w:sz w:val="10"/>
                <w:szCs w:val="10"/>
                <w:color w:val="auto"/>
                <w:w w:val="97"/>
              </w:rPr>
              <w:t>(8)</w:t>
            </w:r>
          </w:p>
        </w:tc>
        <w:tc>
          <w:tcPr>
            <w:tcW w:w="1380" w:type="dxa"/>
            <w:vAlign w:val="bottom"/>
            <w:tcBorders>
              <w:right w:val="single" w:sz="8" w:color="B6B6B6"/>
            </w:tcBorders>
            <w:vMerge w:val="restart"/>
          </w:tcPr>
          <w:p>
            <w:pPr>
              <w:jc w:val="center"/>
              <w:ind w:right="42"/>
              <w:spacing w:after="0"/>
              <w:rPr>
                <w:sz w:val="20"/>
                <w:szCs w:val="20"/>
                <w:color w:val="auto"/>
              </w:rPr>
            </w:pPr>
            <w:r>
              <w:rPr>
                <w:rFonts w:ascii="Arial" w:cs="Arial" w:eastAsia="Arial" w:hAnsi="Arial"/>
                <w:sz w:val="16"/>
                <w:szCs w:val="16"/>
                <w:color w:val="auto"/>
                <w:w w:val="98"/>
              </w:rPr>
              <w:t>2,973,150</w:t>
            </w:r>
          </w:p>
        </w:tc>
        <w:tc>
          <w:tcPr>
            <w:tcW w:w="880" w:type="dxa"/>
            <w:vAlign w:val="bottom"/>
            <w:vMerge w:val="restart"/>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36"/>
        </w:trPr>
        <w:tc>
          <w:tcPr>
            <w:tcW w:w="580" w:type="dxa"/>
            <w:vAlign w:val="bottom"/>
            <w:vMerge w:val="continue"/>
          </w:tcPr>
          <w:p>
            <w:pPr>
              <w:spacing w:after="0"/>
              <w:rPr>
                <w:sz w:val="11"/>
                <w:szCs w:val="11"/>
                <w:color w:val="auto"/>
              </w:rPr>
            </w:pPr>
          </w:p>
        </w:tc>
        <w:tc>
          <w:tcPr>
            <w:tcW w:w="380" w:type="dxa"/>
            <w:vAlign w:val="bottom"/>
            <w:tcBorders>
              <w:right w:val="single" w:sz="8" w:color="B6B6B6"/>
            </w:tcBorders>
          </w:tcPr>
          <w:p>
            <w:pPr>
              <w:spacing w:after="0"/>
              <w:rPr>
                <w:sz w:val="11"/>
                <w:szCs w:val="11"/>
                <w:color w:val="auto"/>
              </w:rPr>
            </w:pPr>
          </w:p>
        </w:tc>
        <w:tc>
          <w:tcPr>
            <w:tcW w:w="1380" w:type="dxa"/>
            <w:vAlign w:val="bottom"/>
            <w:tcBorders>
              <w:right w:val="single" w:sz="8" w:color="B6B6B6"/>
            </w:tcBorders>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4"/>
        </w:trPr>
        <w:tc>
          <w:tcPr>
            <w:tcW w:w="58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380" w:type="dxa"/>
            <w:vAlign w:val="bottom"/>
            <w:tcBorders>
              <w:right w:val="single" w:sz="8" w:color="B6B6B6"/>
            </w:tcBorders>
          </w:tcPr>
          <w:p>
            <w:pPr>
              <w:spacing w:after="0"/>
              <w:rPr>
                <w:sz w:val="24"/>
                <w:szCs w:val="24"/>
                <w:color w:val="auto"/>
              </w:rPr>
            </w:pPr>
          </w:p>
        </w:tc>
        <w:tc>
          <w:tcPr>
            <w:tcW w:w="1380" w:type="dxa"/>
            <w:vAlign w:val="bottom"/>
            <w:tcBorders>
              <w:right w:val="single" w:sz="8" w:color="B6B6B6"/>
            </w:tcBorders>
          </w:tcPr>
          <w:p>
            <w:pPr>
              <w:jc w:val="center"/>
              <w:ind w:right="22"/>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left="342"/>
              <w:spacing w:after="0"/>
              <w:rPr>
                <w:sz w:val="20"/>
                <w:szCs w:val="20"/>
                <w:color w:val="auto"/>
              </w:rPr>
            </w:pPr>
            <w:r>
              <w:rPr>
                <w:rFonts w:ascii="Arial" w:cs="Arial" w:eastAsia="Arial" w:hAnsi="Arial"/>
                <w:sz w:val="16"/>
                <w:szCs w:val="16"/>
                <w:color w:val="auto"/>
                <w:w w:val="94"/>
              </w:rPr>
              <w:t>8,580</w:t>
            </w:r>
          </w:p>
        </w:tc>
        <w:tc>
          <w:tcPr>
            <w:tcW w:w="0" w:type="dxa"/>
            <w:vAlign w:val="bottom"/>
          </w:tcPr>
          <w:p>
            <w:pPr>
              <w:spacing w:after="0"/>
              <w:rPr>
                <w:sz w:val="1"/>
                <w:szCs w:val="1"/>
                <w:color w:val="auto"/>
              </w:rPr>
            </w:pPr>
          </w:p>
        </w:tc>
      </w:tr>
      <w:tr>
        <w:trPr>
          <w:trHeight w:val="314"/>
        </w:trPr>
        <w:tc>
          <w:tcPr>
            <w:tcW w:w="58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380" w:type="dxa"/>
            <w:vAlign w:val="bottom"/>
            <w:tcBorders>
              <w:right w:val="single" w:sz="8" w:color="B6B6B6"/>
            </w:tcBorders>
          </w:tcPr>
          <w:p>
            <w:pPr>
              <w:spacing w:after="0"/>
              <w:rPr>
                <w:sz w:val="24"/>
                <w:szCs w:val="24"/>
                <w:color w:val="auto"/>
              </w:rPr>
            </w:pPr>
          </w:p>
        </w:tc>
        <w:tc>
          <w:tcPr>
            <w:tcW w:w="1380" w:type="dxa"/>
            <w:vAlign w:val="bottom"/>
            <w:tcBorders>
              <w:right w:val="single" w:sz="8" w:color="B6B6B6"/>
            </w:tcBorders>
          </w:tcPr>
          <w:p>
            <w:pPr>
              <w:jc w:val="center"/>
              <w:ind w:right="22"/>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left="342"/>
              <w:spacing w:after="0"/>
              <w:rPr>
                <w:sz w:val="20"/>
                <w:szCs w:val="20"/>
                <w:color w:val="auto"/>
              </w:rPr>
            </w:pPr>
            <w:r>
              <w:rPr>
                <w:rFonts w:ascii="Arial" w:cs="Arial" w:eastAsia="Arial" w:hAnsi="Arial"/>
                <w:sz w:val="16"/>
                <w:szCs w:val="16"/>
                <w:color w:val="auto"/>
                <w:w w:val="94"/>
              </w:rPr>
              <w:t>8,840</w:t>
            </w:r>
          </w:p>
        </w:tc>
        <w:tc>
          <w:tcPr>
            <w:tcW w:w="0" w:type="dxa"/>
            <w:vAlign w:val="bottom"/>
          </w:tcPr>
          <w:p>
            <w:pPr>
              <w:spacing w:after="0"/>
              <w:rPr>
                <w:sz w:val="1"/>
                <w:szCs w:val="1"/>
                <w:color w:val="auto"/>
              </w:rPr>
            </w:pPr>
          </w:p>
        </w:tc>
      </w:tr>
      <w:tr>
        <w:trPr>
          <w:trHeight w:val="152"/>
        </w:trPr>
        <w:tc>
          <w:tcPr>
            <w:tcW w:w="580" w:type="dxa"/>
            <w:vAlign w:val="bottom"/>
            <w:vMerge w:val="restart"/>
          </w:tcPr>
          <w:p>
            <w:pPr>
              <w:jc w:val="center"/>
              <w:ind w:right="22"/>
              <w:spacing w:after="0"/>
              <w:rPr>
                <w:sz w:val="20"/>
                <w:szCs w:val="20"/>
                <w:color w:val="auto"/>
              </w:rPr>
            </w:pPr>
            <w:r>
              <w:rPr>
                <w:rFonts w:ascii="Arial" w:cs="Arial" w:eastAsia="Arial" w:hAnsi="Arial"/>
                <w:sz w:val="16"/>
                <w:szCs w:val="16"/>
                <w:color w:val="auto"/>
                <w:w w:val="99"/>
              </w:rPr>
              <w:t>6,400</w:t>
            </w:r>
          </w:p>
        </w:tc>
        <w:tc>
          <w:tcPr>
            <w:tcW w:w="380" w:type="dxa"/>
            <w:vAlign w:val="bottom"/>
            <w:tcBorders>
              <w:right w:val="single" w:sz="8" w:color="B6B6B6"/>
            </w:tcBorders>
          </w:tcPr>
          <w:p>
            <w:pPr>
              <w:jc w:val="center"/>
              <w:spacing w:after="0"/>
              <w:rPr>
                <w:sz w:val="20"/>
                <w:szCs w:val="20"/>
                <w:color w:val="auto"/>
              </w:rPr>
            </w:pPr>
            <w:r>
              <w:rPr>
                <w:rFonts w:ascii="Arial" w:cs="Arial" w:eastAsia="Arial" w:hAnsi="Arial"/>
                <w:sz w:val="10"/>
                <w:szCs w:val="10"/>
                <w:color w:val="auto"/>
                <w:w w:val="97"/>
              </w:rPr>
              <w:t>(4)</w:t>
            </w:r>
          </w:p>
        </w:tc>
        <w:tc>
          <w:tcPr>
            <w:tcW w:w="1380" w:type="dxa"/>
            <w:vAlign w:val="bottom"/>
            <w:tcBorders>
              <w:right w:val="single" w:sz="8" w:color="B6B6B6"/>
            </w:tcBorders>
            <w:vMerge w:val="restart"/>
          </w:tcPr>
          <w:p>
            <w:pPr>
              <w:jc w:val="center"/>
              <w:ind w:right="22"/>
              <w:spacing w:after="0"/>
              <w:rPr>
                <w:sz w:val="20"/>
                <w:szCs w:val="20"/>
                <w:color w:val="auto"/>
              </w:rPr>
            </w:pPr>
            <w:r>
              <w:rPr>
                <w:rFonts w:ascii="Arial" w:cs="Arial" w:eastAsia="Arial" w:hAnsi="Arial"/>
                <w:sz w:val="16"/>
                <w:szCs w:val="16"/>
                <w:color w:val="auto"/>
                <w:w w:val="96"/>
              </w:rPr>
              <w:t>845,696</w:t>
            </w:r>
          </w:p>
        </w:tc>
        <w:tc>
          <w:tcPr>
            <w:tcW w:w="880" w:type="dxa"/>
            <w:vAlign w:val="bottom"/>
            <w:vMerge w:val="restart"/>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3"/>
        </w:trPr>
        <w:tc>
          <w:tcPr>
            <w:tcW w:w="580" w:type="dxa"/>
            <w:vAlign w:val="bottom"/>
            <w:vMerge w:val="continue"/>
          </w:tcPr>
          <w:p>
            <w:pPr>
              <w:spacing w:after="0"/>
              <w:rPr>
                <w:sz w:val="10"/>
                <w:szCs w:val="10"/>
                <w:color w:val="auto"/>
              </w:rPr>
            </w:pPr>
          </w:p>
        </w:tc>
        <w:tc>
          <w:tcPr>
            <w:tcW w:w="3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0"/>
                <w:szCs w:val="10"/>
                <w:color w:val="auto"/>
                <w:w w:val="97"/>
              </w:rPr>
              <w:t>(5)</w:t>
            </w:r>
          </w:p>
        </w:tc>
        <w:tc>
          <w:tcPr>
            <w:tcW w:w="1380" w:type="dxa"/>
            <w:vAlign w:val="bottom"/>
            <w:tcBorders>
              <w:right w:val="single" w:sz="8" w:color="B6B6B6"/>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0" w:type="dxa"/>
            <w:vAlign w:val="bottom"/>
            <w:vMerge w:val="restart"/>
          </w:tcPr>
          <w:p>
            <w:pPr>
              <w:jc w:val="center"/>
              <w:ind w:right="22"/>
              <w:spacing w:after="0"/>
              <w:rPr>
                <w:sz w:val="20"/>
                <w:szCs w:val="20"/>
                <w:color w:val="auto"/>
              </w:rPr>
            </w:pPr>
            <w:r>
              <w:rPr>
                <w:rFonts w:ascii="Arial" w:cs="Arial" w:eastAsia="Arial" w:hAnsi="Arial"/>
                <w:sz w:val="16"/>
                <w:szCs w:val="16"/>
                <w:color w:val="auto"/>
                <w:w w:val="99"/>
              </w:rPr>
              <w:t>4,950</w:t>
            </w:r>
          </w:p>
        </w:tc>
        <w:tc>
          <w:tcPr>
            <w:tcW w:w="380" w:type="dxa"/>
            <w:vAlign w:val="bottom"/>
            <w:tcBorders>
              <w:right w:val="single" w:sz="8" w:color="B6B6B6"/>
            </w:tcBorders>
            <w:vMerge w:val="continue"/>
          </w:tcPr>
          <w:p>
            <w:pPr>
              <w:spacing w:after="0"/>
              <w:rPr>
                <w:sz w:val="10"/>
                <w:szCs w:val="10"/>
                <w:color w:val="auto"/>
              </w:rPr>
            </w:pPr>
          </w:p>
        </w:tc>
        <w:tc>
          <w:tcPr>
            <w:tcW w:w="1380" w:type="dxa"/>
            <w:vAlign w:val="bottom"/>
            <w:tcBorders>
              <w:right w:val="single" w:sz="8" w:color="B6B6B6"/>
            </w:tcBorders>
            <w:vMerge w:val="restart"/>
          </w:tcPr>
          <w:p>
            <w:pPr>
              <w:jc w:val="center"/>
              <w:ind w:right="22"/>
              <w:spacing w:after="0"/>
              <w:rPr>
                <w:sz w:val="20"/>
                <w:szCs w:val="20"/>
                <w:color w:val="auto"/>
              </w:rPr>
            </w:pPr>
            <w:r>
              <w:rPr>
                <w:rFonts w:ascii="Arial" w:cs="Arial" w:eastAsia="Arial" w:hAnsi="Arial"/>
                <w:sz w:val="16"/>
                <w:szCs w:val="16"/>
                <w:color w:val="auto"/>
                <w:w w:val="96"/>
              </w:rPr>
              <w:t>654,093</w:t>
            </w:r>
          </w:p>
        </w:tc>
        <w:tc>
          <w:tcPr>
            <w:tcW w:w="880" w:type="dxa"/>
            <w:vAlign w:val="bottom"/>
            <w:vMerge w:val="restart"/>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3"/>
        </w:trPr>
        <w:tc>
          <w:tcPr>
            <w:tcW w:w="580" w:type="dxa"/>
            <w:vAlign w:val="bottom"/>
            <w:vMerge w:val="continue"/>
          </w:tcPr>
          <w:p>
            <w:pPr>
              <w:spacing w:after="0"/>
              <w:rPr>
                <w:sz w:val="10"/>
                <w:szCs w:val="10"/>
                <w:color w:val="auto"/>
              </w:rPr>
            </w:pPr>
          </w:p>
        </w:tc>
        <w:tc>
          <w:tcPr>
            <w:tcW w:w="3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0"/>
                <w:szCs w:val="10"/>
                <w:color w:val="auto"/>
                <w:w w:val="97"/>
              </w:rPr>
              <w:t>(5)</w:t>
            </w:r>
          </w:p>
        </w:tc>
        <w:tc>
          <w:tcPr>
            <w:tcW w:w="1380" w:type="dxa"/>
            <w:vAlign w:val="bottom"/>
            <w:tcBorders>
              <w:right w:val="single" w:sz="8" w:color="B6B6B6"/>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0" w:type="dxa"/>
            <w:vAlign w:val="bottom"/>
            <w:vMerge w:val="restart"/>
          </w:tcPr>
          <w:p>
            <w:pPr>
              <w:jc w:val="center"/>
              <w:ind w:right="22"/>
              <w:spacing w:after="0"/>
              <w:rPr>
                <w:sz w:val="20"/>
                <w:szCs w:val="20"/>
                <w:color w:val="auto"/>
              </w:rPr>
            </w:pPr>
            <w:r>
              <w:rPr>
                <w:rFonts w:ascii="Arial" w:cs="Arial" w:eastAsia="Arial" w:hAnsi="Arial"/>
                <w:sz w:val="16"/>
                <w:szCs w:val="16"/>
                <w:color w:val="auto"/>
                <w:w w:val="98"/>
              </w:rPr>
              <w:t>13,200</w:t>
            </w:r>
          </w:p>
        </w:tc>
        <w:tc>
          <w:tcPr>
            <w:tcW w:w="380" w:type="dxa"/>
            <w:vAlign w:val="bottom"/>
            <w:tcBorders>
              <w:right w:val="single" w:sz="8" w:color="B6B6B6"/>
            </w:tcBorders>
            <w:vMerge w:val="continue"/>
          </w:tcPr>
          <w:p>
            <w:pPr>
              <w:spacing w:after="0"/>
              <w:rPr>
                <w:sz w:val="10"/>
                <w:szCs w:val="10"/>
                <w:color w:val="auto"/>
              </w:rPr>
            </w:pPr>
          </w:p>
        </w:tc>
        <w:tc>
          <w:tcPr>
            <w:tcW w:w="1380" w:type="dxa"/>
            <w:vAlign w:val="bottom"/>
            <w:tcBorders>
              <w:right w:val="single" w:sz="8" w:color="B6B6B6"/>
            </w:tcBorders>
            <w:vMerge w:val="restart"/>
          </w:tcPr>
          <w:p>
            <w:pPr>
              <w:jc w:val="center"/>
              <w:ind w:right="42"/>
              <w:spacing w:after="0"/>
              <w:rPr>
                <w:sz w:val="20"/>
                <w:szCs w:val="20"/>
                <w:color w:val="auto"/>
              </w:rPr>
            </w:pPr>
            <w:r>
              <w:rPr>
                <w:rFonts w:ascii="Arial" w:cs="Arial" w:eastAsia="Arial" w:hAnsi="Arial"/>
                <w:sz w:val="16"/>
                <w:szCs w:val="16"/>
                <w:color w:val="auto"/>
                <w:w w:val="98"/>
              </w:rPr>
              <w:t>1,744,248</w:t>
            </w:r>
          </w:p>
        </w:tc>
        <w:tc>
          <w:tcPr>
            <w:tcW w:w="880" w:type="dxa"/>
            <w:vAlign w:val="bottom"/>
            <w:vMerge w:val="restart"/>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3"/>
        </w:trPr>
        <w:tc>
          <w:tcPr>
            <w:tcW w:w="580" w:type="dxa"/>
            <w:vAlign w:val="bottom"/>
            <w:vMerge w:val="continue"/>
          </w:tcPr>
          <w:p>
            <w:pPr>
              <w:spacing w:after="0"/>
              <w:rPr>
                <w:sz w:val="10"/>
                <w:szCs w:val="10"/>
                <w:color w:val="auto"/>
              </w:rPr>
            </w:pPr>
          </w:p>
        </w:tc>
        <w:tc>
          <w:tcPr>
            <w:tcW w:w="3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0"/>
                <w:szCs w:val="10"/>
                <w:color w:val="auto"/>
                <w:w w:val="97"/>
              </w:rPr>
              <w:t>(9)</w:t>
            </w:r>
          </w:p>
        </w:tc>
        <w:tc>
          <w:tcPr>
            <w:tcW w:w="1380" w:type="dxa"/>
            <w:vAlign w:val="bottom"/>
            <w:tcBorders>
              <w:right w:val="single" w:sz="8" w:color="B6B6B6"/>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0" w:type="dxa"/>
            <w:vAlign w:val="bottom"/>
            <w:vMerge w:val="restart"/>
          </w:tcPr>
          <w:p>
            <w:pPr>
              <w:jc w:val="center"/>
              <w:ind w:right="22"/>
              <w:spacing w:after="0"/>
              <w:rPr>
                <w:sz w:val="20"/>
                <w:szCs w:val="20"/>
                <w:color w:val="auto"/>
              </w:rPr>
            </w:pPr>
            <w:r>
              <w:rPr>
                <w:rFonts w:ascii="Arial" w:cs="Arial" w:eastAsia="Arial" w:hAnsi="Arial"/>
                <w:sz w:val="16"/>
                <w:szCs w:val="16"/>
                <w:color w:val="auto"/>
                <w:w w:val="98"/>
              </w:rPr>
              <w:t>26,250</w:t>
            </w:r>
          </w:p>
        </w:tc>
        <w:tc>
          <w:tcPr>
            <w:tcW w:w="380" w:type="dxa"/>
            <w:vAlign w:val="bottom"/>
            <w:tcBorders>
              <w:right w:val="single" w:sz="8" w:color="B6B6B6"/>
            </w:tcBorders>
            <w:vMerge w:val="continue"/>
          </w:tcPr>
          <w:p>
            <w:pPr>
              <w:spacing w:after="0"/>
              <w:rPr>
                <w:sz w:val="10"/>
                <w:szCs w:val="10"/>
                <w:color w:val="auto"/>
              </w:rPr>
            </w:pPr>
          </w:p>
        </w:tc>
        <w:tc>
          <w:tcPr>
            <w:tcW w:w="1380" w:type="dxa"/>
            <w:vAlign w:val="bottom"/>
            <w:tcBorders>
              <w:right w:val="single" w:sz="8" w:color="B6B6B6"/>
            </w:tcBorders>
            <w:vMerge w:val="restart"/>
          </w:tcPr>
          <w:p>
            <w:pPr>
              <w:jc w:val="center"/>
              <w:ind w:right="42"/>
              <w:spacing w:after="0"/>
              <w:rPr>
                <w:sz w:val="20"/>
                <w:szCs w:val="20"/>
                <w:color w:val="auto"/>
              </w:rPr>
            </w:pPr>
            <w:r>
              <w:rPr>
                <w:rFonts w:ascii="Arial" w:cs="Arial" w:eastAsia="Arial" w:hAnsi="Arial"/>
                <w:sz w:val="16"/>
                <w:szCs w:val="16"/>
                <w:color w:val="auto"/>
                <w:w w:val="98"/>
              </w:rPr>
              <w:t>3,468,675</w:t>
            </w:r>
          </w:p>
        </w:tc>
        <w:tc>
          <w:tcPr>
            <w:tcW w:w="880" w:type="dxa"/>
            <w:vAlign w:val="bottom"/>
            <w:vMerge w:val="restart"/>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3"/>
        </w:trPr>
        <w:tc>
          <w:tcPr>
            <w:tcW w:w="580" w:type="dxa"/>
            <w:vAlign w:val="bottom"/>
            <w:vMerge w:val="continue"/>
          </w:tcPr>
          <w:p>
            <w:pPr>
              <w:spacing w:after="0"/>
              <w:rPr>
                <w:sz w:val="10"/>
                <w:szCs w:val="10"/>
                <w:color w:val="auto"/>
              </w:rPr>
            </w:pPr>
          </w:p>
        </w:tc>
        <w:tc>
          <w:tcPr>
            <w:tcW w:w="380" w:type="dxa"/>
            <w:vAlign w:val="bottom"/>
            <w:tcBorders>
              <w:right w:val="single" w:sz="8" w:color="B6B6B6"/>
            </w:tcBorders>
          </w:tcPr>
          <w:p>
            <w:pPr>
              <w:spacing w:after="0"/>
              <w:rPr>
                <w:sz w:val="10"/>
                <w:szCs w:val="10"/>
                <w:color w:val="auto"/>
              </w:rPr>
            </w:pPr>
          </w:p>
        </w:tc>
        <w:tc>
          <w:tcPr>
            <w:tcW w:w="1380" w:type="dxa"/>
            <w:vAlign w:val="bottom"/>
            <w:tcBorders>
              <w:right w:val="single" w:sz="8" w:color="B6B6B6"/>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58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380" w:type="dxa"/>
            <w:vAlign w:val="bottom"/>
            <w:tcBorders>
              <w:right w:val="single" w:sz="8" w:color="B6B6B6"/>
            </w:tcBorders>
          </w:tcPr>
          <w:p>
            <w:pPr>
              <w:spacing w:after="0"/>
              <w:rPr>
                <w:sz w:val="21"/>
                <w:szCs w:val="21"/>
                <w:color w:val="auto"/>
              </w:rPr>
            </w:pPr>
          </w:p>
        </w:tc>
        <w:tc>
          <w:tcPr>
            <w:tcW w:w="1380" w:type="dxa"/>
            <w:vAlign w:val="bottom"/>
            <w:tcBorders>
              <w:right w:val="single" w:sz="8" w:color="B6B6B6"/>
            </w:tcBorders>
          </w:tcPr>
          <w:p>
            <w:pPr>
              <w:jc w:val="center"/>
              <w:ind w:right="22"/>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left="342"/>
              <w:spacing w:after="0"/>
              <w:rPr>
                <w:sz w:val="20"/>
                <w:szCs w:val="20"/>
                <w:color w:val="auto"/>
              </w:rPr>
            </w:pPr>
            <w:r>
              <w:rPr>
                <w:rFonts w:ascii="Arial" w:cs="Arial" w:eastAsia="Arial" w:hAnsi="Arial"/>
                <w:sz w:val="16"/>
                <w:szCs w:val="16"/>
                <w:color w:val="auto"/>
                <w:w w:val="94"/>
              </w:rPr>
              <w:t>4,950</w:t>
            </w:r>
          </w:p>
        </w:tc>
        <w:tc>
          <w:tcPr>
            <w:tcW w:w="0" w:type="dxa"/>
            <w:vAlign w:val="bottom"/>
          </w:tcPr>
          <w:p>
            <w:pPr>
              <w:spacing w:after="0"/>
              <w:rPr>
                <w:sz w:val="1"/>
                <w:szCs w:val="1"/>
                <w:color w:val="auto"/>
              </w:rPr>
            </w:pPr>
          </w:p>
        </w:tc>
      </w:tr>
      <w:tr>
        <w:trPr>
          <w:trHeight w:val="248"/>
        </w:trPr>
        <w:tc>
          <w:tcPr>
            <w:tcW w:w="58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380" w:type="dxa"/>
            <w:vAlign w:val="bottom"/>
            <w:tcBorders>
              <w:right w:val="single" w:sz="8" w:color="B6B6B6"/>
            </w:tcBorders>
          </w:tcPr>
          <w:p>
            <w:pPr>
              <w:spacing w:after="0"/>
              <w:rPr>
                <w:sz w:val="21"/>
                <w:szCs w:val="21"/>
                <w:color w:val="auto"/>
              </w:rPr>
            </w:pPr>
          </w:p>
        </w:tc>
        <w:tc>
          <w:tcPr>
            <w:tcW w:w="1380" w:type="dxa"/>
            <w:vAlign w:val="bottom"/>
            <w:tcBorders>
              <w:right w:val="single" w:sz="8" w:color="B6B6B6"/>
            </w:tcBorders>
          </w:tcPr>
          <w:p>
            <w:pPr>
              <w:jc w:val="center"/>
              <w:ind w:right="22"/>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left="322"/>
              <w:spacing w:after="0"/>
              <w:rPr>
                <w:sz w:val="20"/>
                <w:szCs w:val="20"/>
                <w:color w:val="auto"/>
              </w:rPr>
            </w:pPr>
            <w:r>
              <w:rPr>
                <w:rFonts w:ascii="Arial" w:cs="Arial" w:eastAsia="Arial" w:hAnsi="Arial"/>
                <w:sz w:val="16"/>
                <w:szCs w:val="16"/>
                <w:color w:val="auto"/>
                <w:w w:val="98"/>
              </w:rPr>
              <w:t>13,200</w:t>
            </w:r>
          </w:p>
        </w:tc>
        <w:tc>
          <w:tcPr>
            <w:tcW w:w="0" w:type="dxa"/>
            <w:vAlign w:val="bottom"/>
          </w:tcPr>
          <w:p>
            <w:pPr>
              <w:spacing w:after="0"/>
              <w:rPr>
                <w:sz w:val="1"/>
                <w:szCs w:val="1"/>
                <w:color w:val="auto"/>
              </w:rPr>
            </w:pPr>
          </w:p>
        </w:tc>
      </w:tr>
      <w:tr>
        <w:trPr>
          <w:trHeight w:val="248"/>
        </w:trPr>
        <w:tc>
          <w:tcPr>
            <w:tcW w:w="58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380" w:type="dxa"/>
            <w:vAlign w:val="bottom"/>
            <w:tcBorders>
              <w:right w:val="single" w:sz="8" w:color="B6B6B6"/>
            </w:tcBorders>
          </w:tcPr>
          <w:p>
            <w:pPr>
              <w:spacing w:after="0"/>
              <w:rPr>
                <w:sz w:val="21"/>
                <w:szCs w:val="21"/>
                <w:color w:val="auto"/>
              </w:rPr>
            </w:pPr>
          </w:p>
        </w:tc>
        <w:tc>
          <w:tcPr>
            <w:tcW w:w="1380" w:type="dxa"/>
            <w:vAlign w:val="bottom"/>
            <w:tcBorders>
              <w:right w:val="single" w:sz="8" w:color="B6B6B6"/>
            </w:tcBorders>
          </w:tcPr>
          <w:p>
            <w:pPr>
              <w:jc w:val="center"/>
              <w:ind w:right="22"/>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left="342"/>
              <w:spacing w:after="0"/>
              <w:rPr>
                <w:sz w:val="20"/>
                <w:szCs w:val="20"/>
                <w:color w:val="auto"/>
              </w:rPr>
            </w:pPr>
            <w:r>
              <w:rPr>
                <w:rFonts w:ascii="Arial" w:cs="Arial" w:eastAsia="Arial" w:hAnsi="Arial"/>
                <w:sz w:val="16"/>
                <w:szCs w:val="16"/>
                <w:color w:val="auto"/>
                <w:w w:val="94"/>
              </w:rPr>
              <w:t>5,100</w:t>
            </w:r>
          </w:p>
        </w:tc>
        <w:tc>
          <w:tcPr>
            <w:tcW w:w="0" w:type="dxa"/>
            <w:vAlign w:val="bottom"/>
          </w:tcPr>
          <w:p>
            <w:pPr>
              <w:spacing w:after="0"/>
              <w:rPr>
                <w:sz w:val="1"/>
                <w:szCs w:val="1"/>
                <w:color w:val="auto"/>
              </w:rPr>
            </w:pPr>
          </w:p>
        </w:tc>
      </w:tr>
      <w:tr>
        <w:trPr>
          <w:trHeight w:val="248"/>
        </w:trPr>
        <w:tc>
          <w:tcPr>
            <w:tcW w:w="58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3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0"/>
                <w:szCs w:val="10"/>
                <w:color w:val="auto"/>
                <w:w w:val="97"/>
              </w:rPr>
              <w:t>(4)</w:t>
            </w:r>
          </w:p>
        </w:tc>
        <w:tc>
          <w:tcPr>
            <w:tcW w:w="1380" w:type="dxa"/>
            <w:vAlign w:val="bottom"/>
            <w:tcBorders>
              <w:right w:val="single" w:sz="8" w:color="B6B6B6"/>
            </w:tcBorders>
          </w:tcPr>
          <w:p>
            <w:pPr>
              <w:jc w:val="center"/>
              <w:ind w:right="22"/>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ind w:left="322"/>
              <w:spacing w:after="0"/>
              <w:rPr>
                <w:sz w:val="20"/>
                <w:szCs w:val="20"/>
                <w:color w:val="auto"/>
              </w:rPr>
            </w:pPr>
            <w:r>
              <w:rPr>
                <w:rFonts w:ascii="Arial" w:cs="Arial" w:eastAsia="Arial" w:hAnsi="Arial"/>
                <w:sz w:val="16"/>
                <w:szCs w:val="16"/>
                <w:color w:val="auto"/>
                <w:w w:val="98"/>
              </w:rPr>
              <w:t>13,600</w:t>
            </w:r>
          </w:p>
        </w:tc>
        <w:tc>
          <w:tcPr>
            <w:tcW w:w="0" w:type="dxa"/>
            <w:vAlign w:val="bottom"/>
          </w:tcPr>
          <w:p>
            <w:pPr>
              <w:spacing w:after="0"/>
              <w:rPr>
                <w:sz w:val="1"/>
                <w:szCs w:val="1"/>
                <w:color w:val="auto"/>
              </w:rPr>
            </w:pPr>
          </w:p>
        </w:tc>
      </w:tr>
      <w:tr>
        <w:trPr>
          <w:trHeight w:val="126"/>
        </w:trPr>
        <w:tc>
          <w:tcPr>
            <w:tcW w:w="580" w:type="dxa"/>
            <w:vAlign w:val="bottom"/>
            <w:vMerge w:val="restart"/>
          </w:tcPr>
          <w:p>
            <w:pPr>
              <w:jc w:val="center"/>
              <w:ind w:right="22"/>
              <w:spacing w:after="0"/>
              <w:rPr>
                <w:sz w:val="20"/>
                <w:szCs w:val="20"/>
                <w:color w:val="auto"/>
              </w:rPr>
            </w:pPr>
            <w:r>
              <w:rPr>
                <w:rFonts w:ascii="Arial" w:cs="Arial" w:eastAsia="Arial" w:hAnsi="Arial"/>
                <w:sz w:val="16"/>
                <w:szCs w:val="16"/>
                <w:color w:val="auto"/>
                <w:w w:val="99"/>
              </w:rPr>
              <w:t>8,000</w:t>
            </w:r>
          </w:p>
        </w:tc>
        <w:tc>
          <w:tcPr>
            <w:tcW w:w="380" w:type="dxa"/>
            <w:vAlign w:val="bottom"/>
            <w:tcBorders>
              <w:right w:val="single" w:sz="8" w:color="B6B6B6"/>
            </w:tcBorders>
            <w:vMerge w:val="continue"/>
          </w:tcPr>
          <w:p>
            <w:pPr>
              <w:spacing w:after="0"/>
              <w:rPr>
                <w:sz w:val="10"/>
                <w:szCs w:val="10"/>
                <w:color w:val="auto"/>
              </w:rPr>
            </w:pPr>
          </w:p>
        </w:tc>
        <w:tc>
          <w:tcPr>
            <w:tcW w:w="1380" w:type="dxa"/>
            <w:vAlign w:val="bottom"/>
            <w:tcBorders>
              <w:right w:val="single" w:sz="8" w:color="B6B6B6"/>
            </w:tcBorders>
            <w:vMerge w:val="restart"/>
          </w:tcPr>
          <w:p>
            <w:pPr>
              <w:jc w:val="center"/>
              <w:ind w:right="42"/>
              <w:spacing w:after="0"/>
              <w:rPr>
                <w:sz w:val="20"/>
                <w:szCs w:val="20"/>
                <w:color w:val="auto"/>
              </w:rPr>
            </w:pPr>
            <w:r>
              <w:rPr>
                <w:rFonts w:ascii="Arial" w:cs="Arial" w:eastAsia="Arial" w:hAnsi="Arial"/>
                <w:sz w:val="16"/>
                <w:szCs w:val="16"/>
                <w:color w:val="auto"/>
                <w:w w:val="98"/>
              </w:rPr>
              <w:t>1,057,120</w:t>
            </w:r>
          </w:p>
        </w:tc>
        <w:tc>
          <w:tcPr>
            <w:tcW w:w="880" w:type="dxa"/>
            <w:vAlign w:val="bottom"/>
            <w:vMerge w:val="restart"/>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3"/>
        </w:trPr>
        <w:tc>
          <w:tcPr>
            <w:tcW w:w="580" w:type="dxa"/>
            <w:vAlign w:val="bottom"/>
            <w:vMerge w:val="continue"/>
          </w:tcPr>
          <w:p>
            <w:pPr>
              <w:spacing w:after="0"/>
              <w:rPr>
                <w:sz w:val="10"/>
                <w:szCs w:val="10"/>
                <w:color w:val="auto"/>
              </w:rPr>
            </w:pPr>
          </w:p>
        </w:tc>
        <w:tc>
          <w:tcPr>
            <w:tcW w:w="3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0"/>
                <w:szCs w:val="10"/>
                <w:color w:val="auto"/>
              </w:rPr>
              <w:t>(10)</w:t>
            </w:r>
          </w:p>
        </w:tc>
        <w:tc>
          <w:tcPr>
            <w:tcW w:w="1380" w:type="dxa"/>
            <w:vAlign w:val="bottom"/>
            <w:tcBorders>
              <w:right w:val="single" w:sz="8" w:color="B6B6B6"/>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0" w:type="dxa"/>
            <w:vAlign w:val="bottom"/>
            <w:vMerge w:val="restart"/>
          </w:tcPr>
          <w:p>
            <w:pPr>
              <w:jc w:val="center"/>
              <w:ind w:right="22"/>
              <w:spacing w:after="0"/>
              <w:rPr>
                <w:sz w:val="20"/>
                <w:szCs w:val="20"/>
                <w:color w:val="auto"/>
              </w:rPr>
            </w:pPr>
            <w:r>
              <w:rPr>
                <w:rFonts w:ascii="Arial" w:cs="Arial" w:eastAsia="Arial" w:hAnsi="Arial"/>
                <w:sz w:val="16"/>
                <w:szCs w:val="16"/>
                <w:color w:val="auto"/>
                <w:w w:val="98"/>
              </w:rPr>
              <w:t>15,000</w:t>
            </w:r>
          </w:p>
        </w:tc>
        <w:tc>
          <w:tcPr>
            <w:tcW w:w="380" w:type="dxa"/>
            <w:vAlign w:val="bottom"/>
            <w:tcBorders>
              <w:right w:val="single" w:sz="8" w:color="B6B6B6"/>
            </w:tcBorders>
            <w:vMerge w:val="continue"/>
          </w:tcPr>
          <w:p>
            <w:pPr>
              <w:spacing w:after="0"/>
              <w:rPr>
                <w:sz w:val="10"/>
                <w:szCs w:val="10"/>
                <w:color w:val="auto"/>
              </w:rPr>
            </w:pPr>
          </w:p>
        </w:tc>
        <w:tc>
          <w:tcPr>
            <w:tcW w:w="1380" w:type="dxa"/>
            <w:vAlign w:val="bottom"/>
            <w:tcBorders>
              <w:right w:val="single" w:sz="8" w:color="B6B6B6"/>
            </w:tcBorders>
            <w:vMerge w:val="restart"/>
          </w:tcPr>
          <w:p>
            <w:pPr>
              <w:jc w:val="center"/>
              <w:ind w:right="42"/>
              <w:spacing w:after="0"/>
              <w:rPr>
                <w:sz w:val="20"/>
                <w:szCs w:val="20"/>
                <w:color w:val="auto"/>
              </w:rPr>
            </w:pPr>
            <w:r>
              <w:rPr>
                <w:rFonts w:ascii="Arial" w:cs="Arial" w:eastAsia="Arial" w:hAnsi="Arial"/>
                <w:sz w:val="16"/>
                <w:szCs w:val="16"/>
                <w:color w:val="auto"/>
                <w:w w:val="98"/>
              </w:rPr>
              <w:t>1,982,100</w:t>
            </w:r>
          </w:p>
        </w:tc>
        <w:tc>
          <w:tcPr>
            <w:tcW w:w="880" w:type="dxa"/>
            <w:vAlign w:val="bottom"/>
            <w:vMerge w:val="restart"/>
          </w:tcPr>
          <w:p>
            <w:pPr>
              <w:jc w:val="center"/>
              <w:ind w:left="3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3"/>
        </w:trPr>
        <w:tc>
          <w:tcPr>
            <w:tcW w:w="580" w:type="dxa"/>
            <w:vAlign w:val="bottom"/>
            <w:vMerge w:val="continue"/>
          </w:tcPr>
          <w:p>
            <w:pPr>
              <w:spacing w:after="0"/>
              <w:rPr>
                <w:sz w:val="10"/>
                <w:szCs w:val="10"/>
                <w:color w:val="auto"/>
              </w:rPr>
            </w:pPr>
          </w:p>
        </w:tc>
        <w:tc>
          <w:tcPr>
            <w:tcW w:w="380" w:type="dxa"/>
            <w:vAlign w:val="bottom"/>
            <w:tcBorders>
              <w:right w:val="single" w:sz="8" w:color="B6B6B6"/>
            </w:tcBorders>
          </w:tcPr>
          <w:p>
            <w:pPr>
              <w:spacing w:after="0"/>
              <w:rPr>
                <w:sz w:val="10"/>
                <w:szCs w:val="10"/>
                <w:color w:val="auto"/>
              </w:rPr>
            </w:pPr>
          </w:p>
        </w:tc>
        <w:tc>
          <w:tcPr>
            <w:tcW w:w="1380" w:type="dxa"/>
            <w:vAlign w:val="bottom"/>
            <w:tcBorders>
              <w:right w:val="single" w:sz="8" w:color="B6B6B6"/>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380" w:type="dxa"/>
            <w:vAlign w:val="bottom"/>
            <w:tcBorders>
              <w:right w:val="single" w:sz="8" w:color="B6B6B6"/>
            </w:tcBorders>
          </w:tcPr>
          <w:p>
            <w:pPr>
              <w:spacing w:after="0"/>
              <w:rPr>
                <w:sz w:val="2"/>
                <w:szCs w:val="2"/>
                <w:color w:val="auto"/>
              </w:rPr>
            </w:pPr>
          </w:p>
        </w:tc>
        <w:tc>
          <w:tcPr>
            <w:tcW w:w="1380" w:type="dxa"/>
            <w:vAlign w:val="bottom"/>
            <w:tcBorders>
              <w:right w:val="single" w:sz="8" w:color="B6B6B6"/>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FFFFFF"/>
        </w:rPr>
        <w:t>Equity Incentive</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FFFFFF"/>
        </w:rPr>
        <w:t>Plan Awards:</w:t>
      </w:r>
    </w:p>
    <w:p>
      <w:pPr>
        <w:spacing w:after="0" w:line="9" w:lineRule="exact"/>
        <w:rPr>
          <w:sz w:val="20"/>
          <w:szCs w:val="20"/>
          <w:color w:val="auto"/>
        </w:rPr>
      </w:pPr>
    </w:p>
    <w:p>
      <w:pPr>
        <w:jc w:val="center"/>
        <w:ind w:left="-359"/>
        <w:spacing w:after="0" w:line="268" w:lineRule="auto"/>
        <w:rPr>
          <w:sz w:val="20"/>
          <w:szCs w:val="20"/>
          <w:color w:val="auto"/>
        </w:rPr>
      </w:pPr>
      <w:r>
        <w:rPr>
          <w:rFonts w:ascii="Arial" w:cs="Arial" w:eastAsia="Arial" w:hAnsi="Arial"/>
          <w:sz w:val="13"/>
          <w:szCs w:val="13"/>
          <w:b w:val="1"/>
          <w:bCs w:val="1"/>
          <w:color w:val="FFFFFF"/>
        </w:rPr>
        <w:t>Market or Payout Value of Unearned Shares, Units or Other Rights That Have Not Vested</w:t>
      </w:r>
      <w:r>
        <w:rPr>
          <w:rFonts w:ascii="Arial" w:cs="Arial" w:eastAsia="Arial" w:hAnsi="Arial"/>
          <w:sz w:val="8"/>
          <w:szCs w:val="8"/>
          <w:b w:val="1"/>
          <w:bCs w:val="1"/>
          <w:color w:val="FFFFFF"/>
        </w:rPr>
        <w:t>(1)(2)</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19050</wp:posOffset>
            </wp:positionV>
            <wp:extent cx="8255" cy="3568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3568065"/>
                    </a:xfrm>
                    <a:prstGeom prst="rect">
                      <a:avLst/>
                    </a:prstGeom>
                    <a:noFill/>
                  </pic:spPr>
                </pic:pic>
              </a:graphicData>
            </a:graphic>
          </wp:anchor>
        </w:drawing>
      </w:r>
    </w:p>
    <w:p>
      <w:pPr>
        <w:spacing w:after="0" w:line="6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p>
    <w:p>
      <w:pPr>
        <w:spacing w:after="0" w:line="130"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ind w:left="660"/>
        <w:spacing w:after="0"/>
        <w:rPr>
          <w:sz w:val="20"/>
          <w:szCs w:val="20"/>
          <w:color w:val="auto"/>
        </w:rPr>
      </w:pPr>
      <w:r>
        <w:rPr>
          <w:rFonts w:ascii="Arial" w:cs="Arial" w:eastAsia="Arial" w:hAnsi="Arial"/>
          <w:sz w:val="16"/>
          <w:szCs w:val="16"/>
          <w:color w:val="auto"/>
        </w:rPr>
        <w:t>3,488,496</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jc w:val="center"/>
        <w:ind w:right="-279"/>
        <w:spacing w:after="0"/>
        <w:rPr>
          <w:sz w:val="20"/>
          <w:szCs w:val="20"/>
          <w:color w:val="auto"/>
        </w:rPr>
      </w:pPr>
      <w:r>
        <w:rPr>
          <w:rFonts w:ascii="Arial" w:cs="Arial" w:eastAsia="Arial" w:hAnsi="Arial"/>
          <w:sz w:val="16"/>
          <w:szCs w:val="16"/>
          <w:color w:val="auto"/>
        </w:rPr>
        <w:t>3,594,208</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ind w:left="660"/>
        <w:spacing w:after="0"/>
        <w:rPr>
          <w:sz w:val="20"/>
          <w:szCs w:val="20"/>
          <w:color w:val="auto"/>
        </w:rPr>
      </w:pPr>
      <w:r>
        <w:rPr>
          <w:rFonts w:ascii="Arial" w:cs="Arial" w:eastAsia="Arial" w:hAnsi="Arial"/>
          <w:sz w:val="16"/>
          <w:szCs w:val="16"/>
          <w:color w:val="auto"/>
        </w:rPr>
        <w:t>1,133,761</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ind w:left="680"/>
        <w:spacing w:after="0"/>
        <w:rPr>
          <w:sz w:val="20"/>
          <w:szCs w:val="20"/>
          <w:color w:val="auto"/>
        </w:rPr>
      </w:pPr>
      <w:r>
        <w:rPr>
          <w:rFonts w:ascii="Arial" w:cs="Arial" w:eastAsia="Arial" w:hAnsi="Arial"/>
          <w:sz w:val="16"/>
          <w:szCs w:val="16"/>
          <w:color w:val="auto"/>
        </w:rPr>
        <w:t>1,168,118</w:t>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p>
    <w:p>
      <w:pPr>
        <w:spacing w:after="0" w:line="6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p>
    <w:p>
      <w:pPr>
        <w:spacing w:after="0" w:line="6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p>
    <w:p>
      <w:pPr>
        <w:spacing w:after="0" w:line="6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p>
    <w:p>
      <w:pPr>
        <w:spacing w:after="0" w:line="40" w:lineRule="exact"/>
        <w:rPr>
          <w:sz w:val="20"/>
          <w:szCs w:val="20"/>
          <w:color w:val="auto"/>
        </w:rPr>
      </w:pPr>
    </w:p>
    <w:p>
      <w:pPr>
        <w:ind w:left="740" w:hanging="732"/>
        <w:spacing w:after="0"/>
        <w:tabs>
          <w:tab w:leader="none" w:pos="740" w:val="left"/>
        </w:tabs>
        <w:numPr>
          <w:ilvl w:val="0"/>
          <w:numId w:val="57"/>
        </w:numPr>
        <w:rPr>
          <w:rFonts w:ascii="Arial" w:cs="Arial" w:eastAsia="Arial" w:hAnsi="Arial"/>
          <w:sz w:val="20"/>
          <w:szCs w:val="20"/>
          <w:color w:val="auto"/>
          <w:vertAlign w:val="superscript"/>
        </w:rPr>
      </w:pPr>
      <w:r>
        <w:rPr>
          <w:rFonts w:ascii="Arial" w:cs="Arial" w:eastAsia="Arial" w:hAnsi="Arial"/>
          <w:sz w:val="16"/>
          <w:szCs w:val="16"/>
          <w:color w:val="auto"/>
        </w:rPr>
        <w:t>654,093</w:t>
      </w:r>
    </w:p>
    <w:p>
      <w:pPr>
        <w:spacing w:after="0" w:line="1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vertAlign w:val="superscript"/>
        </w:rPr>
      </w:pPr>
      <w:r>
        <w:rPr>
          <w:rFonts w:ascii="Arial" w:cs="Arial" w:eastAsia="Arial" w:hAnsi="Arial"/>
          <w:sz w:val="16"/>
          <w:szCs w:val="16"/>
          <w:color w:val="auto"/>
        </w:rPr>
        <w:t>1,744,249</w:t>
      </w:r>
    </w:p>
    <w:p>
      <w:pPr>
        <w:spacing w:after="0" w:line="18" w:lineRule="exact"/>
        <w:rPr>
          <w:rFonts w:ascii="Arial" w:cs="Arial" w:eastAsia="Arial" w:hAnsi="Arial"/>
          <w:sz w:val="20"/>
          <w:szCs w:val="20"/>
          <w:color w:val="auto"/>
          <w:vertAlign w:val="superscript"/>
        </w:rPr>
      </w:pPr>
    </w:p>
    <w:p>
      <w:pPr>
        <w:ind w:left="740" w:hanging="732"/>
        <w:spacing w:after="0"/>
        <w:tabs>
          <w:tab w:leader="none" w:pos="740" w:val="left"/>
        </w:tabs>
        <w:numPr>
          <w:ilvl w:val="0"/>
          <w:numId w:val="58"/>
        </w:numPr>
        <w:rPr>
          <w:rFonts w:ascii="Arial" w:cs="Arial" w:eastAsia="Arial" w:hAnsi="Arial"/>
          <w:sz w:val="20"/>
          <w:szCs w:val="20"/>
          <w:color w:val="auto"/>
          <w:vertAlign w:val="superscript"/>
        </w:rPr>
      </w:pPr>
      <w:r>
        <w:rPr>
          <w:rFonts w:ascii="Arial" w:cs="Arial" w:eastAsia="Arial" w:hAnsi="Arial"/>
          <w:sz w:val="16"/>
          <w:szCs w:val="16"/>
          <w:color w:val="auto"/>
        </w:rPr>
        <w:t>673,914</w:t>
      </w:r>
    </w:p>
    <w:p>
      <w:pPr>
        <w:spacing w:after="0" w:line="18"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0"/>
          <w:szCs w:val="20"/>
          <w:color w:val="auto"/>
          <w:vertAlign w:val="superscript"/>
        </w:rPr>
      </w:pPr>
      <w:r>
        <w:rPr>
          <w:rFonts w:ascii="Arial" w:cs="Arial" w:eastAsia="Arial" w:hAnsi="Arial"/>
          <w:sz w:val="16"/>
          <w:szCs w:val="16"/>
          <w:color w:val="auto"/>
        </w:rPr>
        <w:t>1,797,104</w:t>
      </w:r>
    </w:p>
    <w:p>
      <w:pPr>
        <w:spacing w:after="0" w:line="42" w:lineRule="exact"/>
        <w:rPr>
          <w:rFonts w:ascii="Arial" w:cs="Arial" w:eastAsia="Arial" w:hAnsi="Arial"/>
          <w:sz w:val="20"/>
          <w:szCs w:val="20"/>
          <w:color w:val="auto"/>
          <w:vertAlign w:val="superscript"/>
        </w:rPr>
      </w:pPr>
    </w:p>
    <w:p>
      <w:pPr>
        <w:ind w:left="940"/>
        <w:spacing w:after="0"/>
        <w:rPr>
          <w:rFonts w:ascii="Arial" w:cs="Arial" w:eastAsia="Arial" w:hAnsi="Arial"/>
          <w:sz w:val="20"/>
          <w:szCs w:val="20"/>
          <w:color w:val="auto"/>
          <w:vertAlign w:val="superscript"/>
        </w:rPr>
      </w:pPr>
      <w:r>
        <w:rPr>
          <w:rFonts w:ascii="Arial" w:cs="Arial" w:eastAsia="Arial" w:hAnsi="Arial"/>
          <w:sz w:val="16"/>
          <w:szCs w:val="16"/>
          <w:color w:val="auto"/>
        </w:rPr>
        <w:t>—</w:t>
      </w:r>
    </w:p>
    <w:p>
      <w:pPr>
        <w:spacing w:after="0" w:line="64" w:lineRule="exact"/>
        <w:rPr>
          <w:rFonts w:ascii="Arial" w:cs="Arial" w:eastAsia="Arial" w:hAnsi="Arial"/>
          <w:sz w:val="20"/>
          <w:szCs w:val="20"/>
          <w:color w:val="auto"/>
          <w:vertAlign w:val="superscript"/>
        </w:rPr>
      </w:pPr>
    </w:p>
    <w:p>
      <w:pPr>
        <w:ind w:left="940"/>
        <w:spacing w:after="0"/>
        <w:rPr>
          <w:rFonts w:ascii="Arial" w:cs="Arial" w:eastAsia="Arial" w:hAnsi="Arial"/>
          <w:sz w:val="20"/>
          <w:szCs w:val="20"/>
          <w:color w:val="auto"/>
          <w:vertAlign w:val="superscript"/>
        </w:rPr>
      </w:pPr>
      <w:r>
        <w:rPr>
          <w:rFonts w:ascii="Arial" w:cs="Arial" w:eastAsia="Arial" w:hAnsi="Arial"/>
          <w:sz w:val="16"/>
          <w:szCs w:val="16"/>
          <w:color w:val="auto"/>
        </w:rPr>
        <w:t>—</w:t>
      </w:r>
    </w:p>
    <w:p>
      <w:pPr>
        <w:spacing w:after="0" w:line="207" w:lineRule="exact"/>
        <w:rPr>
          <w:sz w:val="20"/>
          <w:szCs w:val="20"/>
          <w:color w:val="auto"/>
        </w:rPr>
      </w:pPr>
    </w:p>
    <w:p>
      <w:pPr>
        <w:sectPr>
          <w:pgSz w:w="11900" w:h="16838" w:orient="portrait"/>
          <w:cols w:equalWidth="0" w:num="4">
            <w:col w:w="1880" w:space="340"/>
            <w:col w:w="3280" w:space="140"/>
            <w:col w:w="3700" w:space="160"/>
            <w:col w:w="1740"/>
          </w:cols>
          <w:pgMar w:left="320" w:top="1000" w:right="339" w:bottom="1440" w:gutter="0" w:footer="0" w:header="0"/>
          <w:type w:val="continuous"/>
        </w:sect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ind w:left="240" w:hanging="235"/>
        <w:spacing w:after="0" w:line="287" w:lineRule="auto"/>
        <w:tabs>
          <w:tab w:leader="none" w:pos="226" w:val="left"/>
        </w:tabs>
        <w:numPr>
          <w:ilvl w:val="0"/>
          <w:numId w:val="60"/>
        </w:numPr>
        <w:rPr>
          <w:rFonts w:ascii="Arial" w:cs="Arial" w:eastAsia="Arial" w:hAnsi="Arial"/>
          <w:sz w:val="14"/>
          <w:szCs w:val="14"/>
          <w:color w:val="7D7D7D"/>
        </w:rPr>
      </w:pPr>
      <w:r>
        <w:rPr>
          <w:rFonts w:ascii="Arial" w:cs="Arial" w:eastAsia="Arial" w:hAnsi="Arial"/>
          <w:sz w:val="14"/>
          <w:szCs w:val="14"/>
          <w:color w:val="7D7D7D"/>
        </w:rPr>
        <w:t>Vesting of each stock award is contingent upon the NEO’s continued service, except as may be accelerated on certain events described below under “Employment Contracts and Termination of Employment and Change of Control Arrangements.”</w:t>
      </w:r>
    </w:p>
    <w:p>
      <w:pPr>
        <w:spacing w:after="0" w:line="7" w:lineRule="exact"/>
        <w:rPr>
          <w:sz w:val="20"/>
          <w:szCs w:val="20"/>
          <w:color w:val="auto"/>
        </w:rPr>
      </w:pPr>
    </w:p>
    <w:p>
      <w:pPr>
        <w:ind w:left="240" w:hanging="235"/>
        <w:spacing w:after="0" w:line="268" w:lineRule="auto"/>
        <w:tabs>
          <w:tab w:leader="none" w:pos="226" w:val="left"/>
        </w:tabs>
        <w:numPr>
          <w:ilvl w:val="0"/>
          <w:numId w:val="61"/>
        </w:numPr>
        <w:rPr>
          <w:rFonts w:ascii="Arial" w:cs="Arial" w:eastAsia="Arial" w:hAnsi="Arial"/>
          <w:sz w:val="14"/>
          <w:szCs w:val="14"/>
          <w:color w:val="7D7D7D"/>
        </w:rPr>
      </w:pPr>
      <w:r>
        <w:rPr>
          <w:rFonts w:ascii="Arial" w:cs="Arial" w:eastAsia="Arial" w:hAnsi="Arial"/>
          <w:sz w:val="14"/>
          <w:szCs w:val="14"/>
          <w:color w:val="7D7D7D"/>
        </w:rPr>
        <w:t>The dollar amounts in this column represent the market value of the shares underlying the RSUs is based on the closing price of our common stock of $132.14 on December 29, 2023, the last trading day in 2023.</w:t>
      </w:r>
    </w:p>
    <w:p>
      <w:pPr>
        <w:spacing w:after="0" w:line="19" w:lineRule="exact"/>
        <w:rPr>
          <w:sz w:val="20"/>
          <w:szCs w:val="20"/>
          <w:color w:val="auto"/>
        </w:rPr>
      </w:pPr>
    </w:p>
    <w:p>
      <w:pPr>
        <w:ind w:left="220" w:hanging="215"/>
        <w:spacing w:after="0"/>
        <w:tabs>
          <w:tab w:leader="none" w:pos="220" w:val="left"/>
        </w:tabs>
        <w:numPr>
          <w:ilvl w:val="0"/>
          <w:numId w:val="62"/>
        </w:numPr>
        <w:rPr>
          <w:rFonts w:ascii="Arial" w:cs="Arial" w:eastAsia="Arial" w:hAnsi="Arial"/>
          <w:sz w:val="14"/>
          <w:szCs w:val="14"/>
          <w:color w:val="7D7D7D"/>
        </w:rPr>
      </w:pPr>
      <w:r>
        <w:rPr>
          <w:rFonts w:ascii="Arial" w:cs="Arial" w:eastAsia="Arial" w:hAnsi="Arial"/>
          <w:sz w:val="14"/>
          <w:szCs w:val="14"/>
          <w:color w:val="7D7D7D"/>
        </w:rPr>
        <w:t>The stock options are fully vested.</w:t>
      </w:r>
    </w:p>
    <w:p>
      <w:pPr>
        <w:spacing w:after="0" w:line="61" w:lineRule="exact"/>
        <w:rPr>
          <w:sz w:val="20"/>
          <w:szCs w:val="20"/>
          <w:color w:val="auto"/>
        </w:rPr>
      </w:pPr>
    </w:p>
    <w:p>
      <w:pPr>
        <w:ind w:left="220" w:hanging="215"/>
        <w:spacing w:after="0"/>
        <w:tabs>
          <w:tab w:leader="none" w:pos="220" w:val="left"/>
        </w:tabs>
        <w:numPr>
          <w:ilvl w:val="0"/>
          <w:numId w:val="63"/>
        </w:numPr>
        <w:rPr>
          <w:rFonts w:ascii="Arial" w:cs="Arial" w:eastAsia="Arial" w:hAnsi="Arial"/>
          <w:sz w:val="14"/>
          <w:szCs w:val="14"/>
          <w:color w:val="7D7D7D"/>
        </w:rPr>
      </w:pPr>
      <w:r>
        <w:rPr>
          <w:rFonts w:ascii="Arial" w:cs="Arial" w:eastAsia="Arial" w:hAnsi="Arial"/>
          <w:sz w:val="14"/>
          <w:szCs w:val="14"/>
          <w:color w:val="7D7D7D"/>
        </w:rPr>
        <w:t>The shares subject to the RSU award vest over a two-year period, with 1/2 of the RSUs vesting on each of March 1, 2023 and March 1, 2024.</w:t>
      </w:r>
    </w:p>
    <w:p>
      <w:pPr>
        <w:spacing w:after="0" w:line="59" w:lineRule="exact"/>
        <w:rPr>
          <w:sz w:val="20"/>
          <w:szCs w:val="20"/>
          <w:color w:val="auto"/>
        </w:rPr>
      </w:pPr>
    </w:p>
    <w:p>
      <w:pPr>
        <w:ind w:left="220" w:hanging="215"/>
        <w:spacing w:after="0"/>
        <w:tabs>
          <w:tab w:leader="none" w:pos="220" w:val="left"/>
        </w:tabs>
        <w:numPr>
          <w:ilvl w:val="0"/>
          <w:numId w:val="64"/>
        </w:numPr>
        <w:rPr>
          <w:rFonts w:ascii="Arial" w:cs="Arial" w:eastAsia="Arial" w:hAnsi="Arial"/>
          <w:sz w:val="14"/>
          <w:szCs w:val="14"/>
          <w:color w:val="7D7D7D"/>
        </w:rPr>
      </w:pPr>
      <w:r>
        <w:rPr>
          <w:rFonts w:ascii="Arial" w:cs="Arial" w:eastAsia="Arial" w:hAnsi="Arial"/>
          <w:sz w:val="14"/>
          <w:szCs w:val="14"/>
          <w:color w:val="7D7D7D"/>
        </w:rPr>
        <w:t>The shares subject to the RSU award vest over a three-year period, with 1/3</w:t>
      </w:r>
      <w:r>
        <w:rPr>
          <w:rFonts w:ascii="Arial" w:cs="Arial" w:eastAsia="Arial" w:hAnsi="Arial"/>
          <w:sz w:val="18"/>
          <w:szCs w:val="18"/>
          <w:color w:val="7D7D7D"/>
          <w:vertAlign w:val="superscript"/>
        </w:rPr>
        <w:t>rd</w:t>
      </w:r>
      <w:r>
        <w:rPr>
          <w:rFonts w:ascii="Arial" w:cs="Arial" w:eastAsia="Arial" w:hAnsi="Arial"/>
          <w:sz w:val="14"/>
          <w:szCs w:val="14"/>
          <w:color w:val="7D7D7D"/>
        </w:rPr>
        <w:t xml:space="preserve"> of the RSUs vesting on each of March 1, 2024, March 1, 2025 and March 1, 2026.</w:t>
      </w:r>
    </w:p>
    <w:p>
      <w:pPr>
        <w:spacing w:after="0" w:line="31" w:lineRule="exact"/>
        <w:rPr>
          <w:sz w:val="20"/>
          <w:szCs w:val="20"/>
          <w:color w:val="auto"/>
        </w:rPr>
      </w:pPr>
    </w:p>
    <w:p>
      <w:pPr>
        <w:jc w:val="both"/>
        <w:ind w:left="240" w:hanging="235"/>
        <w:spacing w:after="0" w:line="250" w:lineRule="auto"/>
        <w:tabs>
          <w:tab w:leader="none" w:pos="226" w:val="left"/>
        </w:tabs>
        <w:numPr>
          <w:ilvl w:val="0"/>
          <w:numId w:val="65"/>
        </w:numPr>
        <w:rPr>
          <w:rFonts w:ascii="Arial" w:cs="Arial" w:eastAsia="Arial" w:hAnsi="Arial"/>
          <w:sz w:val="14"/>
          <w:szCs w:val="14"/>
          <w:color w:val="7D7D7D"/>
        </w:rPr>
      </w:pPr>
      <w:r>
        <w:rPr>
          <w:rFonts w:ascii="Arial" w:cs="Arial" w:eastAsia="Arial" w:hAnsi="Arial"/>
          <w:sz w:val="14"/>
          <w:szCs w:val="14"/>
          <w:color w:val="7D7D7D"/>
        </w:rPr>
        <w:t>The shares subject to the PSU award vest upon achievement of the 2023 Annual CEO SMART Goals and were eligible to vest on March 1, 2024. further discussion of these PSUs, please refer to the section entitled “Compensation Discussion and Analysis - Equity-Based Incentive Compensation.” Based on the achievement of the performance criteria related to the performance of 2023 Annual CEO SMART Goals during 2023, 50% of the PSUs vested on March 1, 2024.</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type w:val="continuous"/>
        </w:sectPr>
      </w:pPr>
    </w:p>
    <w:bookmarkStart w:id="57" w:name="page58"/>
    <w:bookmarkEnd w:id="57"/>
    <w:p>
      <w:pPr>
        <w:jc w:val="both"/>
        <w:ind w:left="240" w:hanging="235"/>
        <w:spacing w:after="0" w:line="270" w:lineRule="auto"/>
        <w:tabs>
          <w:tab w:leader="none" w:pos="226" w:val="left"/>
        </w:tabs>
        <w:numPr>
          <w:ilvl w:val="0"/>
          <w:numId w:val="66"/>
        </w:numPr>
        <w:rPr>
          <w:rFonts w:ascii="Arial" w:cs="Arial" w:eastAsia="Arial" w:hAnsi="Arial"/>
          <w:sz w:val="14"/>
          <w:szCs w:val="14"/>
          <w:color w:val="7D7D7D"/>
        </w:rPr>
      </w:pPr>
      <w:r>
        <w:rPr>
          <w:rFonts w:ascii="Arial" w:cs="Arial" w:eastAsia="Arial" w:hAnsi="Arial"/>
          <w:sz w:val="14"/>
          <w:szCs w:val="14"/>
          <w:color w:val="7D7D7D"/>
        </w:rPr>
        <w:t>The shares subject the PSU award are eligible to vest on March 1, 2026 depending on the 3-year TSR performance of Enphase relative to S&amp;P 500 companies. This number represents the number of shares that can be earned at 100% of target. For a further discussion of these PSUs, please refer to the section entitled “Compensation Discussion and Analysis - Equity-Based Incentive Compensation.”</w:t>
      </w:r>
    </w:p>
    <w:p>
      <w:pPr>
        <w:spacing w:after="0" w:line="6" w:lineRule="exact"/>
        <w:rPr>
          <w:sz w:val="20"/>
          <w:szCs w:val="20"/>
          <w:color w:val="auto"/>
        </w:rPr>
      </w:pPr>
    </w:p>
    <w:p>
      <w:pPr>
        <w:ind w:left="220" w:hanging="215"/>
        <w:spacing w:after="0"/>
        <w:tabs>
          <w:tab w:leader="none" w:pos="220" w:val="left"/>
        </w:tabs>
        <w:numPr>
          <w:ilvl w:val="0"/>
          <w:numId w:val="67"/>
        </w:numPr>
        <w:rPr>
          <w:rFonts w:ascii="Arial" w:cs="Arial" w:eastAsia="Arial" w:hAnsi="Arial"/>
          <w:sz w:val="13"/>
          <w:szCs w:val="13"/>
          <w:color w:val="7D7D7D"/>
        </w:rPr>
      </w:pPr>
      <w:r>
        <w:rPr>
          <w:rFonts w:ascii="Arial" w:cs="Arial" w:eastAsia="Arial" w:hAnsi="Arial"/>
          <w:sz w:val="13"/>
          <w:szCs w:val="13"/>
          <w:color w:val="7D7D7D"/>
        </w:rPr>
        <w:t>The shares subject to the RSU award vest over a four-year period, with 1/4</w:t>
      </w:r>
      <w:r>
        <w:rPr>
          <w:rFonts w:ascii="Arial" w:cs="Arial" w:eastAsia="Arial" w:hAnsi="Arial"/>
          <w:sz w:val="8"/>
          <w:szCs w:val="8"/>
          <w:color w:val="7D7D7D"/>
        </w:rPr>
        <w:t>th</w:t>
      </w:r>
      <w:r>
        <w:rPr>
          <w:rFonts w:ascii="Arial" w:cs="Arial" w:eastAsia="Arial" w:hAnsi="Arial"/>
          <w:sz w:val="13"/>
          <w:szCs w:val="13"/>
          <w:color w:val="7D7D7D"/>
        </w:rPr>
        <w:t xml:space="preserve"> of the RSUs vesting on February 15, 2023; and thereafter, 1/16</w:t>
      </w:r>
      <w:r>
        <w:rPr>
          <w:rFonts w:ascii="Arial" w:cs="Arial" w:eastAsia="Arial" w:hAnsi="Arial"/>
          <w:sz w:val="8"/>
          <w:szCs w:val="8"/>
          <w:color w:val="7D7D7D"/>
        </w:rPr>
        <w:t>th</w:t>
      </w:r>
      <w:r>
        <w:rPr>
          <w:rFonts w:ascii="Arial" w:cs="Arial" w:eastAsia="Arial" w:hAnsi="Arial"/>
          <w:sz w:val="13"/>
          <w:szCs w:val="13"/>
          <w:color w:val="7D7D7D"/>
        </w:rPr>
        <w:t xml:space="preserve"> of the RSU shares vesting quarterly.</w:t>
      </w:r>
    </w:p>
    <w:p>
      <w:pPr>
        <w:spacing w:after="0" w:line="70" w:lineRule="exact"/>
        <w:rPr>
          <w:rFonts w:ascii="Arial" w:cs="Arial" w:eastAsia="Arial" w:hAnsi="Arial"/>
          <w:sz w:val="13"/>
          <w:szCs w:val="13"/>
          <w:color w:val="7D7D7D"/>
        </w:rPr>
      </w:pPr>
    </w:p>
    <w:p>
      <w:pPr>
        <w:ind w:right="140"/>
        <w:spacing w:after="0" w:line="300" w:lineRule="auto"/>
        <w:rPr>
          <w:rFonts w:ascii="Arial" w:cs="Arial" w:eastAsia="Arial" w:hAnsi="Arial"/>
          <w:sz w:val="13"/>
          <w:szCs w:val="13"/>
          <w:color w:val="7D7D7D"/>
        </w:rPr>
      </w:pPr>
      <w:r>
        <w:rPr>
          <w:rFonts w:ascii="Arial" w:cs="Arial" w:eastAsia="Arial" w:hAnsi="Arial"/>
          <w:sz w:val="14"/>
          <w:szCs w:val="14"/>
          <w:color w:val="7D7D7D"/>
        </w:rPr>
        <w:t>9 The shares subject to the RSU award vest over a two-year period, with 1/8</w:t>
      </w:r>
      <w:r>
        <w:rPr>
          <w:rFonts w:ascii="Arial" w:cs="Arial" w:eastAsia="Arial" w:hAnsi="Arial"/>
          <w:sz w:val="18"/>
          <w:szCs w:val="18"/>
          <w:color w:val="7D7D7D"/>
          <w:vertAlign w:val="superscript"/>
        </w:rPr>
        <w:t>th</w:t>
      </w:r>
      <w:r>
        <w:rPr>
          <w:rFonts w:ascii="Arial" w:cs="Arial" w:eastAsia="Arial" w:hAnsi="Arial"/>
          <w:sz w:val="14"/>
          <w:szCs w:val="14"/>
          <w:color w:val="7D7D7D"/>
        </w:rPr>
        <w:t xml:space="preserve"> of the RSUs vesting on November 10, 2023 and 1/8</w:t>
      </w:r>
      <w:r>
        <w:rPr>
          <w:rFonts w:ascii="Arial" w:cs="Arial" w:eastAsia="Arial" w:hAnsi="Arial"/>
          <w:sz w:val="18"/>
          <w:szCs w:val="18"/>
          <w:color w:val="7D7D7D"/>
          <w:vertAlign w:val="superscript"/>
        </w:rPr>
        <w:t>th</w:t>
      </w:r>
      <w:r>
        <w:rPr>
          <w:rFonts w:ascii="Arial" w:cs="Arial" w:eastAsia="Arial" w:hAnsi="Arial"/>
          <w:sz w:val="14"/>
          <w:szCs w:val="14"/>
          <w:color w:val="7D7D7D"/>
        </w:rPr>
        <w:t xml:space="preserve"> of the RSU shares vesting quarterly thereafter. 10 The shares subject to the RSU award vest over a two-year period, with 1/2 of the RSUs vesting on April 17, 2024 and 1/2 vesting on April 17, 2025.</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8" w:name="page59"/>
    <w:bookmarkEnd w:id="58"/>
    <w:p>
      <w:pPr>
        <w:spacing w:after="0"/>
        <w:rPr>
          <w:sz w:val="20"/>
          <w:szCs w:val="20"/>
          <w:color w:val="auto"/>
        </w:rPr>
      </w:pPr>
      <w:r>
        <w:rPr>
          <w:rFonts w:ascii="Arial" w:cs="Arial" w:eastAsia="Arial" w:hAnsi="Arial"/>
          <w:sz w:val="31"/>
          <w:szCs w:val="31"/>
          <w:b w:val="1"/>
          <w:bCs w:val="1"/>
          <w:color w:val="auto"/>
        </w:rPr>
        <w:t>Option Exercises and Stock Vested — 2023</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regarding the exercise of options and vesting of stock awards during 2023 of previously granted awards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139700</wp:posOffset>
            </wp:positionV>
            <wp:extent cx="46888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3C3C3C"/>
              </w:rPr>
              <w:t>Option Awards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2"/>
          </w:tcPr>
          <w:p>
            <w:pPr>
              <w:ind w:left="1220"/>
              <w:spacing w:after="0"/>
              <w:rPr>
                <w:sz w:val="20"/>
                <w:szCs w:val="20"/>
                <w:color w:val="auto"/>
              </w:rPr>
            </w:pPr>
            <w:r>
              <w:rPr>
                <w:rFonts w:ascii="Arial" w:cs="Arial" w:eastAsia="Arial" w:hAnsi="Arial"/>
                <w:sz w:val="14"/>
                <w:szCs w:val="14"/>
                <w:b w:val="1"/>
                <w:bCs w:val="1"/>
                <w:color w:val="3C3C3C"/>
              </w:rPr>
              <w:t>Stock Awards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60" w:type="dxa"/>
            <w:vAlign w:val="bottom"/>
            <w:tcBorders>
              <w:left w:val="single" w:sz="8" w:color="3C3C3C"/>
            </w:tcBorders>
            <w:shd w:val="clear" w:color="auto" w:fill="3C3C3C"/>
          </w:tcPr>
          <w:p>
            <w:pPr>
              <w:spacing w:after="0"/>
              <w:rPr>
                <w:sz w:val="15"/>
                <w:szCs w:val="15"/>
                <w:color w:val="auto"/>
              </w:rPr>
            </w:pPr>
          </w:p>
        </w:tc>
        <w:tc>
          <w:tcPr>
            <w:tcW w:w="120" w:type="dxa"/>
            <w:vAlign w:val="bottom"/>
            <w:tcBorders>
              <w:right w:val="single" w:sz="8" w:color="3C3C3C"/>
            </w:tcBorders>
            <w:shd w:val="clear" w:color="auto" w:fill="3C3C3C"/>
          </w:tcPr>
          <w:p>
            <w:pPr>
              <w:spacing w:after="0"/>
              <w:rPr>
                <w:sz w:val="15"/>
                <w:szCs w:val="15"/>
                <w:color w:val="auto"/>
              </w:rPr>
            </w:pPr>
          </w:p>
        </w:tc>
        <w:tc>
          <w:tcPr>
            <w:tcW w:w="1860" w:type="dxa"/>
            <w:vAlign w:val="bottom"/>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Number of Shares Acquired</w:t>
            </w:r>
          </w:p>
        </w:tc>
        <w:tc>
          <w:tcPr>
            <w:tcW w:w="120" w:type="dxa"/>
            <w:vAlign w:val="bottom"/>
            <w:tcBorders>
              <w:right w:val="single" w:sz="8" w:color="3C3C3C"/>
            </w:tcBorders>
            <w:shd w:val="clear" w:color="auto" w:fill="3C3C3C"/>
          </w:tcPr>
          <w:p>
            <w:pPr>
              <w:spacing w:after="0"/>
              <w:rPr>
                <w:sz w:val="15"/>
                <w:szCs w:val="15"/>
                <w:color w:val="auto"/>
              </w:rPr>
            </w:pPr>
          </w:p>
        </w:tc>
        <w:tc>
          <w:tcPr>
            <w:tcW w:w="1860" w:type="dxa"/>
            <w:vAlign w:val="bottom"/>
            <w:gridSpan w:val="2"/>
            <w:vMerge w:val="restart"/>
            <w:shd w:val="clear" w:color="auto" w:fill="3C3C3C"/>
          </w:tcPr>
          <w:p>
            <w:pPr>
              <w:jc w:val="right"/>
              <w:spacing w:after="0"/>
              <w:rPr>
                <w:sz w:val="20"/>
                <w:szCs w:val="20"/>
                <w:color w:val="auto"/>
              </w:rPr>
            </w:pPr>
            <w:r>
              <w:rPr>
                <w:rFonts w:ascii="Arial" w:cs="Arial" w:eastAsia="Arial" w:hAnsi="Arial"/>
                <w:sz w:val="14"/>
                <w:szCs w:val="14"/>
                <w:b w:val="1"/>
                <w:bCs w:val="1"/>
                <w:color w:val="FFFFFF"/>
                <w:w w:val="99"/>
              </w:rPr>
              <w:t>Value Realized on Exercise</w:t>
            </w:r>
          </w:p>
        </w:tc>
        <w:tc>
          <w:tcPr>
            <w:tcW w:w="140" w:type="dxa"/>
            <w:vAlign w:val="bottom"/>
            <w:tcBorders>
              <w:right w:val="single" w:sz="8" w:color="3C3C3C"/>
            </w:tcBorders>
            <w:shd w:val="clear" w:color="auto" w:fill="3C3C3C"/>
          </w:tcPr>
          <w:p>
            <w:pPr>
              <w:spacing w:after="0"/>
              <w:rPr>
                <w:sz w:val="15"/>
                <w:szCs w:val="15"/>
                <w:color w:val="auto"/>
              </w:rPr>
            </w:pPr>
          </w:p>
        </w:tc>
        <w:tc>
          <w:tcPr>
            <w:tcW w:w="1800" w:type="dxa"/>
            <w:vAlign w:val="bottom"/>
            <w:tcBorders>
              <w:right w:val="single" w:sz="8" w:color="3C3C3C"/>
            </w:tcBorders>
            <w:shd w:val="clear" w:color="auto" w:fill="3C3C3C"/>
          </w:tcPr>
          <w:p>
            <w:pPr>
              <w:jc w:val="center"/>
              <w:ind w:right="83"/>
              <w:spacing w:after="0"/>
              <w:rPr>
                <w:sz w:val="20"/>
                <w:szCs w:val="20"/>
                <w:color w:val="auto"/>
              </w:rPr>
            </w:pPr>
            <w:r>
              <w:rPr>
                <w:rFonts w:ascii="Arial" w:cs="Arial" w:eastAsia="Arial" w:hAnsi="Arial"/>
                <w:sz w:val="14"/>
                <w:szCs w:val="14"/>
                <w:b w:val="1"/>
                <w:bCs w:val="1"/>
                <w:color w:val="FFFFFF"/>
                <w:w w:val="99"/>
              </w:rPr>
              <w:t>Number of Shares</w:t>
            </w:r>
          </w:p>
        </w:tc>
        <w:tc>
          <w:tcPr>
            <w:tcW w:w="158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7"/>
              </w:rPr>
              <w:t>Value Realized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3760" w:type="dxa"/>
            <w:vAlign w:val="bottom"/>
            <w:tcBorders>
              <w:left w:val="single" w:sz="8" w:color="3C3C3C"/>
            </w:tcBorders>
            <w:vMerge w:val="restart"/>
            <w:shd w:val="clear" w:color="auto" w:fill="3C3C3C"/>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120" w:type="dxa"/>
            <w:vAlign w:val="bottom"/>
            <w:tcBorders>
              <w:right w:val="single" w:sz="8" w:color="3C3C3C"/>
            </w:tcBorders>
            <w:shd w:val="clear" w:color="auto" w:fill="3C3C3C"/>
          </w:tcPr>
          <w:p>
            <w:pPr>
              <w:spacing w:after="0"/>
              <w:rPr>
                <w:sz w:val="6"/>
                <w:szCs w:val="6"/>
                <w:color w:val="auto"/>
              </w:rPr>
            </w:pPr>
          </w:p>
        </w:tc>
        <w:tc>
          <w:tcPr>
            <w:tcW w:w="1360" w:type="dxa"/>
            <w:vAlign w:val="bottom"/>
            <w:vMerge w:val="restart"/>
            <w:shd w:val="clear" w:color="auto" w:fill="3C3C3C"/>
          </w:tcPr>
          <w:p>
            <w:pPr>
              <w:jc w:val="center"/>
              <w:ind w:left="402"/>
              <w:spacing w:after="0"/>
              <w:rPr>
                <w:sz w:val="20"/>
                <w:szCs w:val="20"/>
                <w:color w:val="auto"/>
              </w:rPr>
            </w:pPr>
            <w:r>
              <w:rPr>
                <w:rFonts w:ascii="Arial" w:cs="Arial" w:eastAsia="Arial" w:hAnsi="Arial"/>
                <w:sz w:val="14"/>
                <w:szCs w:val="14"/>
                <w:b w:val="1"/>
                <w:bCs w:val="1"/>
                <w:color w:val="FFFFFF"/>
              </w:rPr>
              <w:t>on Exercise</w:t>
            </w:r>
          </w:p>
        </w:tc>
        <w:tc>
          <w:tcPr>
            <w:tcW w:w="500" w:type="dxa"/>
            <w:vAlign w:val="bottom"/>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860" w:type="dxa"/>
            <w:vAlign w:val="bottom"/>
            <w:gridSpan w:val="2"/>
            <w:vMerge w:val="continue"/>
            <w:shd w:val="clear" w:color="auto" w:fill="3C3C3C"/>
          </w:tcPr>
          <w:p>
            <w:pPr>
              <w:spacing w:after="0"/>
              <w:rPr>
                <w:sz w:val="6"/>
                <w:szCs w:val="6"/>
                <w:color w:val="auto"/>
              </w:rPr>
            </w:pPr>
          </w:p>
        </w:tc>
        <w:tc>
          <w:tcPr>
            <w:tcW w:w="140" w:type="dxa"/>
            <w:vAlign w:val="bottom"/>
            <w:tcBorders>
              <w:right w:val="single" w:sz="8" w:color="3C3C3C"/>
            </w:tcBorders>
            <w:shd w:val="clear" w:color="auto" w:fill="3C3C3C"/>
          </w:tcPr>
          <w:p>
            <w:pPr>
              <w:spacing w:after="0"/>
              <w:rPr>
                <w:sz w:val="6"/>
                <w:szCs w:val="6"/>
                <w:color w:val="auto"/>
              </w:rPr>
            </w:pPr>
          </w:p>
        </w:tc>
        <w:tc>
          <w:tcPr>
            <w:tcW w:w="1800" w:type="dxa"/>
            <w:vAlign w:val="bottom"/>
            <w:tcBorders>
              <w:right w:val="single" w:sz="8" w:color="3C3C3C"/>
            </w:tcBorders>
            <w:vMerge w:val="restart"/>
            <w:shd w:val="clear" w:color="auto" w:fill="3C3C3C"/>
          </w:tcPr>
          <w:p>
            <w:pPr>
              <w:jc w:val="center"/>
              <w:ind w:right="63"/>
              <w:spacing w:after="0"/>
              <w:rPr>
                <w:sz w:val="20"/>
                <w:szCs w:val="20"/>
                <w:color w:val="auto"/>
              </w:rPr>
            </w:pPr>
            <w:r>
              <w:rPr>
                <w:rFonts w:ascii="Arial" w:cs="Arial" w:eastAsia="Arial" w:hAnsi="Arial"/>
                <w:sz w:val="14"/>
                <w:szCs w:val="14"/>
                <w:b w:val="1"/>
                <w:bCs w:val="1"/>
                <w:color w:val="FFFFFF"/>
                <w:w w:val="98"/>
              </w:rPr>
              <w:t>Acquired on Vesting</w:t>
            </w:r>
          </w:p>
        </w:tc>
        <w:tc>
          <w:tcPr>
            <w:tcW w:w="158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4"/>
              </w:rPr>
              <w:t>Vesting</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760" w:type="dxa"/>
            <w:vAlign w:val="bottom"/>
            <w:tcBorders>
              <w:left w:val="single" w:sz="8" w:color="3C3C3C"/>
            </w:tcBorders>
            <w:vMerge w:val="continue"/>
            <w:shd w:val="clear" w:color="auto" w:fill="3C3C3C"/>
          </w:tcPr>
          <w:p>
            <w:pPr>
              <w:spacing w:after="0"/>
              <w:rPr>
                <w:sz w:val="7"/>
                <w:szCs w:val="7"/>
                <w:color w:val="auto"/>
              </w:rPr>
            </w:pPr>
          </w:p>
        </w:tc>
        <w:tc>
          <w:tcPr>
            <w:tcW w:w="120" w:type="dxa"/>
            <w:vAlign w:val="bottom"/>
            <w:tcBorders>
              <w:right w:val="single" w:sz="8" w:color="3C3C3C"/>
            </w:tcBorders>
            <w:shd w:val="clear" w:color="auto" w:fill="3C3C3C"/>
          </w:tcPr>
          <w:p>
            <w:pPr>
              <w:spacing w:after="0"/>
              <w:rPr>
                <w:sz w:val="7"/>
                <w:szCs w:val="7"/>
                <w:color w:val="auto"/>
              </w:rPr>
            </w:pPr>
          </w:p>
        </w:tc>
        <w:tc>
          <w:tcPr>
            <w:tcW w:w="1360" w:type="dxa"/>
            <w:vAlign w:val="bottom"/>
            <w:vMerge w:val="continue"/>
            <w:shd w:val="clear" w:color="auto" w:fill="3C3C3C"/>
          </w:tcPr>
          <w:p>
            <w:pPr>
              <w:spacing w:after="0"/>
              <w:rPr>
                <w:sz w:val="7"/>
                <w:szCs w:val="7"/>
                <w:color w:val="auto"/>
              </w:rPr>
            </w:pPr>
          </w:p>
        </w:tc>
        <w:tc>
          <w:tcPr>
            <w:tcW w:w="500" w:type="dxa"/>
            <w:vAlign w:val="bottom"/>
            <w:shd w:val="clear" w:color="auto" w:fill="3C3C3C"/>
          </w:tcPr>
          <w:p>
            <w:pPr>
              <w:spacing w:after="0"/>
              <w:rPr>
                <w:sz w:val="7"/>
                <w:szCs w:val="7"/>
                <w:color w:val="auto"/>
              </w:rPr>
            </w:pPr>
          </w:p>
        </w:tc>
        <w:tc>
          <w:tcPr>
            <w:tcW w:w="1080" w:type="dxa"/>
            <w:vAlign w:val="bottom"/>
            <w:gridSpan w:val="2"/>
            <w:vMerge w:val="restart"/>
            <w:shd w:val="clear" w:color="auto" w:fill="3C3C3C"/>
          </w:tcPr>
          <w:p>
            <w:pPr>
              <w:jc w:val="right"/>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3C3C3C"/>
          </w:tcPr>
          <w:p>
            <w:pPr>
              <w:jc w:val="right"/>
              <w:ind w:right="755"/>
              <w:spacing w:after="0" w:line="90" w:lineRule="exact"/>
              <w:rPr>
                <w:sz w:val="20"/>
                <w:szCs w:val="20"/>
                <w:color w:val="auto"/>
              </w:rPr>
            </w:pPr>
            <w:r>
              <w:rPr>
                <w:rFonts w:ascii="Arial" w:cs="Arial" w:eastAsia="Arial" w:hAnsi="Arial"/>
                <w:sz w:val="9"/>
                <w:szCs w:val="9"/>
                <w:b w:val="1"/>
                <w:bCs w:val="1"/>
                <w:color w:val="FFFFFF"/>
                <w:w w:val="72"/>
              </w:rPr>
              <w:t>(1)</w:t>
            </w:r>
          </w:p>
        </w:tc>
        <w:tc>
          <w:tcPr>
            <w:tcW w:w="140" w:type="dxa"/>
            <w:vAlign w:val="bottom"/>
            <w:tcBorders>
              <w:right w:val="single" w:sz="8" w:color="3C3C3C"/>
            </w:tcBorders>
            <w:shd w:val="clear" w:color="auto" w:fill="3C3C3C"/>
          </w:tcPr>
          <w:p>
            <w:pPr>
              <w:spacing w:after="0"/>
              <w:rPr>
                <w:sz w:val="7"/>
                <w:szCs w:val="7"/>
                <w:color w:val="auto"/>
              </w:rPr>
            </w:pPr>
          </w:p>
        </w:tc>
        <w:tc>
          <w:tcPr>
            <w:tcW w:w="1800" w:type="dxa"/>
            <w:vAlign w:val="bottom"/>
            <w:tcBorders>
              <w:right w:val="single" w:sz="8" w:color="3C3C3C"/>
            </w:tcBorders>
            <w:vMerge w:val="continue"/>
            <w:shd w:val="clear" w:color="auto" w:fill="3C3C3C"/>
          </w:tcPr>
          <w:p>
            <w:pPr>
              <w:spacing w:after="0"/>
              <w:rPr>
                <w:sz w:val="7"/>
                <w:szCs w:val="7"/>
                <w:color w:val="auto"/>
              </w:rPr>
            </w:pPr>
          </w:p>
        </w:tc>
        <w:tc>
          <w:tcPr>
            <w:tcW w:w="1580" w:type="dxa"/>
            <w:vAlign w:val="bottom"/>
            <w:vMerge w:val="continue"/>
            <w:shd w:val="clear" w:color="auto" w:fill="3C3C3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760" w:type="dxa"/>
            <w:vAlign w:val="bottom"/>
            <w:tcBorders>
              <w:left w:val="single" w:sz="8" w:color="3C3C3C"/>
            </w:tcBorders>
            <w:shd w:val="clear" w:color="auto" w:fill="3C3C3C"/>
          </w:tcPr>
          <w:p>
            <w:pPr>
              <w:spacing w:after="0"/>
              <w:rPr>
                <w:sz w:val="18"/>
                <w:szCs w:val="18"/>
                <w:color w:val="auto"/>
              </w:rPr>
            </w:pPr>
          </w:p>
        </w:tc>
        <w:tc>
          <w:tcPr>
            <w:tcW w:w="1480" w:type="dxa"/>
            <w:vAlign w:val="bottom"/>
            <w:gridSpan w:val="2"/>
            <w:shd w:val="clear" w:color="auto" w:fill="3C3C3C"/>
          </w:tcPr>
          <w:p>
            <w:pPr>
              <w:jc w:val="center"/>
              <w:ind w:left="530"/>
              <w:spacing w:after="0"/>
              <w:rPr>
                <w:sz w:val="20"/>
                <w:szCs w:val="20"/>
                <w:color w:val="auto"/>
              </w:rPr>
            </w:pPr>
            <w:r>
              <w:rPr>
                <w:rFonts w:ascii="Arial" w:cs="Arial" w:eastAsia="Arial" w:hAnsi="Arial"/>
                <w:sz w:val="14"/>
                <w:szCs w:val="14"/>
                <w:b w:val="1"/>
                <w:bCs w:val="1"/>
                <w:color w:val="FFFFFF"/>
                <w:w w:val="93"/>
              </w:rPr>
              <w:t>(#)</w:t>
            </w:r>
          </w:p>
        </w:tc>
        <w:tc>
          <w:tcPr>
            <w:tcW w:w="500" w:type="dxa"/>
            <w:vAlign w:val="bottom"/>
            <w:shd w:val="clear" w:color="auto" w:fill="3C3C3C"/>
          </w:tcPr>
          <w:p>
            <w:pPr>
              <w:spacing w:after="0"/>
              <w:rPr>
                <w:sz w:val="18"/>
                <w:szCs w:val="18"/>
                <w:color w:val="auto"/>
              </w:rPr>
            </w:pPr>
          </w:p>
        </w:tc>
        <w:tc>
          <w:tcPr>
            <w:tcW w:w="1080" w:type="dxa"/>
            <w:vAlign w:val="bottom"/>
            <w:gridSpan w:val="2"/>
            <w:vMerge w:val="continue"/>
            <w:shd w:val="clear" w:color="auto" w:fill="3C3C3C"/>
          </w:tcPr>
          <w:p>
            <w:pPr>
              <w:spacing w:after="0"/>
              <w:rPr>
                <w:sz w:val="18"/>
                <w:szCs w:val="18"/>
                <w:color w:val="auto"/>
              </w:rPr>
            </w:pPr>
          </w:p>
        </w:tc>
        <w:tc>
          <w:tcPr>
            <w:tcW w:w="900" w:type="dxa"/>
            <w:vAlign w:val="bottom"/>
            <w:shd w:val="clear" w:color="auto" w:fill="3C3C3C"/>
          </w:tcPr>
          <w:p>
            <w:pPr>
              <w:spacing w:after="0"/>
              <w:rPr>
                <w:sz w:val="18"/>
                <w:szCs w:val="18"/>
                <w:color w:val="auto"/>
              </w:rPr>
            </w:pPr>
          </w:p>
        </w:tc>
        <w:tc>
          <w:tcPr>
            <w:tcW w:w="1940" w:type="dxa"/>
            <w:vAlign w:val="bottom"/>
            <w:tcBorders>
              <w:right w:val="single" w:sz="8" w:color="3C3C3C"/>
            </w:tcBorders>
            <w:gridSpan w:val="2"/>
            <w:shd w:val="clear" w:color="auto" w:fill="3C3C3C"/>
          </w:tcPr>
          <w:p>
            <w:pPr>
              <w:jc w:val="center"/>
              <w:spacing w:after="0" w:line="207" w:lineRule="exact"/>
              <w:rPr>
                <w:sz w:val="20"/>
                <w:szCs w:val="20"/>
                <w:color w:val="auto"/>
              </w:rPr>
            </w:pPr>
            <w:r>
              <w:rPr>
                <w:rFonts w:ascii="Arial" w:cs="Arial" w:eastAsia="Arial" w:hAnsi="Arial"/>
                <w:sz w:val="24"/>
                <w:szCs w:val="24"/>
                <w:b w:val="1"/>
                <w:bCs w:val="1"/>
                <w:color w:val="FFFFFF"/>
                <w:w w:val="91"/>
                <w:vertAlign w:val="subscript"/>
              </w:rPr>
              <w:t>(#)</w:t>
            </w:r>
            <w:r>
              <w:rPr>
                <w:rFonts w:ascii="Arial" w:cs="Arial" w:eastAsia="Arial" w:hAnsi="Arial"/>
                <w:sz w:val="9"/>
                <w:szCs w:val="9"/>
                <w:b w:val="1"/>
                <w:bCs w:val="1"/>
                <w:color w:val="FFFFFF"/>
                <w:w w:val="91"/>
              </w:rPr>
              <w:t>(2)</w:t>
            </w:r>
          </w:p>
        </w:tc>
        <w:tc>
          <w:tcPr>
            <w:tcW w:w="1580" w:type="dxa"/>
            <w:vAlign w:val="bottom"/>
            <w:shd w:val="clear" w:color="auto" w:fill="3C3C3C"/>
          </w:tcPr>
          <w:p>
            <w:pPr>
              <w:jc w:val="center"/>
              <w:spacing w:after="0" w:line="207" w:lineRule="exact"/>
              <w:rPr>
                <w:sz w:val="20"/>
                <w:szCs w:val="20"/>
                <w:color w:val="auto"/>
              </w:rPr>
            </w:pPr>
            <w:r>
              <w:rPr>
                <w:rFonts w:ascii="Arial" w:cs="Arial" w:eastAsia="Arial" w:hAnsi="Arial"/>
                <w:sz w:val="24"/>
                <w:szCs w:val="24"/>
                <w:b w:val="1"/>
                <w:bCs w:val="1"/>
                <w:color w:val="FFFFFF"/>
                <w:w w:val="91"/>
                <w:vertAlign w:val="subscript"/>
              </w:rPr>
              <w:t>($)</w:t>
            </w:r>
            <w:r>
              <w:rPr>
                <w:rFonts w:ascii="Arial" w:cs="Arial" w:eastAsia="Arial" w:hAnsi="Arial"/>
                <w:sz w:val="9"/>
                <w:szCs w:val="9"/>
                <w:b w:val="1"/>
                <w:bCs w:val="1"/>
                <w:color w:val="FFFFFF"/>
                <w:w w:val="91"/>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760" w:type="dxa"/>
            <w:vAlign w:val="bottom"/>
            <w:tcBorders>
              <w:left w:val="single" w:sz="8" w:color="7D7D7D"/>
            </w:tcBorders>
            <w:shd w:val="clear" w:color="auto" w:fill="FAF6EF"/>
          </w:tcPr>
          <w:p>
            <w:pPr>
              <w:spacing w:after="0"/>
              <w:rPr>
                <w:sz w:val="22"/>
                <w:szCs w:val="22"/>
                <w:color w:val="auto"/>
              </w:rPr>
            </w:pPr>
          </w:p>
        </w:tc>
        <w:tc>
          <w:tcPr>
            <w:tcW w:w="120" w:type="dxa"/>
            <w:vAlign w:val="bottom"/>
            <w:tcBorders>
              <w:right w:val="single" w:sz="8" w:color="7D7D7D"/>
            </w:tcBorders>
            <w:shd w:val="clear" w:color="auto" w:fill="FAF6EF"/>
          </w:tcPr>
          <w:p>
            <w:pPr>
              <w:spacing w:after="0"/>
              <w:rPr>
                <w:sz w:val="22"/>
                <w:szCs w:val="22"/>
                <w:color w:val="auto"/>
              </w:rPr>
            </w:pPr>
          </w:p>
        </w:tc>
        <w:tc>
          <w:tcPr>
            <w:tcW w:w="1360" w:type="dxa"/>
            <w:vAlign w:val="bottom"/>
            <w:shd w:val="clear" w:color="auto" w:fill="FAF6EF"/>
          </w:tcPr>
          <w:p>
            <w:pPr>
              <w:jc w:val="center"/>
              <w:ind w:left="402"/>
              <w:spacing w:after="0"/>
              <w:rPr>
                <w:sz w:val="20"/>
                <w:szCs w:val="20"/>
                <w:color w:val="auto"/>
              </w:rPr>
            </w:pPr>
            <w:r>
              <w:rPr>
                <w:rFonts w:ascii="Arial" w:cs="Arial" w:eastAsia="Arial" w:hAnsi="Arial"/>
                <w:sz w:val="16"/>
                <w:szCs w:val="16"/>
                <w:color w:val="auto"/>
                <w:w w:val="98"/>
              </w:rPr>
              <w:t>77,000</w:t>
            </w:r>
          </w:p>
        </w:tc>
        <w:tc>
          <w:tcPr>
            <w:tcW w:w="500" w:type="dxa"/>
            <w:vAlign w:val="bottom"/>
            <w:shd w:val="clear" w:color="auto" w:fill="FAF6EF"/>
          </w:tcPr>
          <w:p>
            <w:pPr>
              <w:spacing w:after="0"/>
              <w:rPr>
                <w:sz w:val="22"/>
                <w:szCs w:val="22"/>
                <w:color w:val="auto"/>
              </w:rPr>
            </w:pPr>
          </w:p>
        </w:tc>
        <w:tc>
          <w:tcPr>
            <w:tcW w:w="120" w:type="dxa"/>
            <w:vAlign w:val="bottom"/>
            <w:tcBorders>
              <w:right w:val="single" w:sz="8" w:color="7D7D7D"/>
            </w:tcBorders>
            <w:shd w:val="clear" w:color="auto" w:fill="FAF6EF"/>
          </w:tcPr>
          <w:p>
            <w:pPr>
              <w:spacing w:after="0"/>
              <w:rPr>
                <w:sz w:val="22"/>
                <w:szCs w:val="22"/>
                <w:color w:val="auto"/>
              </w:rPr>
            </w:pPr>
          </w:p>
        </w:tc>
        <w:tc>
          <w:tcPr>
            <w:tcW w:w="1860" w:type="dxa"/>
            <w:vAlign w:val="bottom"/>
            <w:gridSpan w:val="2"/>
            <w:shd w:val="clear" w:color="auto" w:fill="FAF6EF"/>
          </w:tcPr>
          <w:p>
            <w:pPr>
              <w:jc w:val="center"/>
              <w:spacing w:after="0"/>
              <w:rPr>
                <w:sz w:val="20"/>
                <w:szCs w:val="20"/>
                <w:color w:val="auto"/>
              </w:rPr>
            </w:pPr>
            <w:r>
              <w:rPr>
                <w:rFonts w:ascii="Arial" w:cs="Arial" w:eastAsia="Arial" w:hAnsi="Arial"/>
                <w:sz w:val="16"/>
                <w:szCs w:val="16"/>
                <w:color w:val="auto"/>
                <w:w w:val="97"/>
              </w:rPr>
              <w:t>12,502,490</w:t>
            </w:r>
          </w:p>
        </w:tc>
        <w:tc>
          <w:tcPr>
            <w:tcW w:w="140" w:type="dxa"/>
            <w:vAlign w:val="bottom"/>
            <w:tcBorders>
              <w:right w:val="single" w:sz="8" w:color="7D7D7D"/>
            </w:tcBorders>
            <w:shd w:val="clear" w:color="auto" w:fill="FAF6EF"/>
          </w:tcPr>
          <w:p>
            <w:pPr>
              <w:spacing w:after="0"/>
              <w:rPr>
                <w:sz w:val="22"/>
                <w:szCs w:val="22"/>
                <w:color w:val="auto"/>
              </w:rPr>
            </w:pPr>
          </w:p>
        </w:tc>
        <w:tc>
          <w:tcPr>
            <w:tcW w:w="1800" w:type="dxa"/>
            <w:vAlign w:val="bottom"/>
            <w:tcBorders>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w w:val="98"/>
              </w:rPr>
              <w:t>16,000</w:t>
            </w:r>
          </w:p>
        </w:tc>
        <w:tc>
          <w:tcPr>
            <w:tcW w:w="15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3,284,320</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760" w:type="dxa"/>
            <w:vAlign w:val="bottom"/>
            <w:tcBorders>
              <w:left w:val="single" w:sz="8" w:color="7D7D7D"/>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20" w:type="dxa"/>
            <w:vAlign w:val="bottom"/>
            <w:tcBorders>
              <w:right w:val="single" w:sz="8" w:color="7D7D7D"/>
            </w:tcBorders>
            <w:shd w:val="clear" w:color="auto" w:fill="FAF6EF"/>
          </w:tcPr>
          <w:p>
            <w:pPr>
              <w:spacing w:after="0"/>
              <w:rPr>
                <w:sz w:val="23"/>
                <w:szCs w:val="23"/>
                <w:color w:val="auto"/>
              </w:rPr>
            </w:pPr>
          </w:p>
        </w:tc>
        <w:tc>
          <w:tcPr>
            <w:tcW w:w="1360" w:type="dxa"/>
            <w:vAlign w:val="bottom"/>
            <w:shd w:val="clear" w:color="auto" w:fill="FAF6EF"/>
          </w:tcPr>
          <w:p>
            <w:pPr>
              <w:jc w:val="center"/>
              <w:ind w:left="422"/>
              <w:spacing w:after="0"/>
              <w:rPr>
                <w:sz w:val="20"/>
                <w:szCs w:val="20"/>
                <w:color w:val="auto"/>
              </w:rPr>
            </w:pPr>
            <w:r>
              <w:rPr>
                <w:rFonts w:ascii="Arial" w:cs="Arial" w:eastAsia="Arial" w:hAnsi="Arial"/>
                <w:sz w:val="16"/>
                <w:szCs w:val="16"/>
                <w:color w:val="auto"/>
              </w:rPr>
              <w:t>150,000</w:t>
            </w:r>
          </w:p>
        </w:tc>
        <w:tc>
          <w:tcPr>
            <w:tcW w:w="500" w:type="dxa"/>
            <w:vAlign w:val="bottom"/>
            <w:shd w:val="clear" w:color="auto" w:fill="FAF6EF"/>
          </w:tcPr>
          <w:p>
            <w:pPr>
              <w:spacing w:after="0"/>
              <w:rPr>
                <w:sz w:val="23"/>
                <w:szCs w:val="23"/>
                <w:color w:val="auto"/>
              </w:rPr>
            </w:pPr>
          </w:p>
        </w:tc>
        <w:tc>
          <w:tcPr>
            <w:tcW w:w="120" w:type="dxa"/>
            <w:vAlign w:val="bottom"/>
            <w:tcBorders>
              <w:right w:val="single" w:sz="8" w:color="7D7D7D"/>
            </w:tcBorders>
            <w:shd w:val="clear" w:color="auto" w:fill="FAF6EF"/>
          </w:tcPr>
          <w:p>
            <w:pPr>
              <w:spacing w:after="0"/>
              <w:rPr>
                <w:sz w:val="23"/>
                <w:szCs w:val="23"/>
                <w:color w:val="auto"/>
              </w:rPr>
            </w:pPr>
          </w:p>
        </w:tc>
        <w:tc>
          <w:tcPr>
            <w:tcW w:w="1860" w:type="dxa"/>
            <w:vAlign w:val="bottom"/>
            <w:gridSpan w:val="2"/>
            <w:shd w:val="clear" w:color="auto" w:fill="FAF6EF"/>
          </w:tcPr>
          <w:p>
            <w:pPr>
              <w:jc w:val="center"/>
              <w:spacing w:after="0"/>
              <w:rPr>
                <w:sz w:val="20"/>
                <w:szCs w:val="20"/>
                <w:color w:val="auto"/>
              </w:rPr>
            </w:pPr>
            <w:r>
              <w:rPr>
                <w:rFonts w:ascii="Arial" w:cs="Arial" w:eastAsia="Arial" w:hAnsi="Arial"/>
                <w:sz w:val="16"/>
                <w:szCs w:val="16"/>
                <w:color w:val="auto"/>
                <w:w w:val="97"/>
              </w:rPr>
              <w:t>16,015,500</w:t>
            </w:r>
          </w:p>
        </w:tc>
        <w:tc>
          <w:tcPr>
            <w:tcW w:w="140" w:type="dxa"/>
            <w:vAlign w:val="bottom"/>
            <w:tcBorders>
              <w:right w:val="single" w:sz="8" w:color="7D7D7D"/>
            </w:tcBorders>
            <w:shd w:val="clear" w:color="auto" w:fill="FAF6EF"/>
          </w:tcPr>
          <w:p>
            <w:pPr>
              <w:spacing w:after="0"/>
              <w:rPr>
                <w:sz w:val="23"/>
                <w:szCs w:val="23"/>
                <w:color w:val="auto"/>
              </w:rPr>
            </w:pPr>
          </w:p>
        </w:tc>
        <w:tc>
          <w:tcPr>
            <w:tcW w:w="1800" w:type="dxa"/>
            <w:vAlign w:val="bottom"/>
            <w:tcBorders>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w w:val="98"/>
              </w:rPr>
              <w:t>32,000</w:t>
            </w:r>
          </w:p>
        </w:tc>
        <w:tc>
          <w:tcPr>
            <w:tcW w:w="15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6,568,640</w:t>
            </w:r>
          </w:p>
        </w:tc>
        <w:tc>
          <w:tcPr>
            <w:tcW w:w="20" w:type="dxa"/>
            <w:vAlign w:val="bottom"/>
            <w:shd w:val="clear" w:color="auto" w:fill="7D7D7D"/>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760" w:type="dxa"/>
            <w:vAlign w:val="bottom"/>
            <w:tcBorders>
              <w:left w:val="single" w:sz="8" w:color="7D7D7D"/>
            </w:tcBorders>
            <w:vMerge w:val="continue"/>
            <w:shd w:val="clear" w:color="auto" w:fill="FAF6EF"/>
          </w:tcPr>
          <w:p>
            <w:pPr>
              <w:spacing w:after="0"/>
              <w:rPr>
                <w:sz w:val="14"/>
                <w:szCs w:val="14"/>
                <w:color w:val="auto"/>
              </w:rPr>
            </w:pPr>
          </w:p>
        </w:tc>
        <w:tc>
          <w:tcPr>
            <w:tcW w:w="120" w:type="dxa"/>
            <w:vAlign w:val="bottom"/>
            <w:tcBorders>
              <w:right w:val="single" w:sz="8" w:color="7D7D7D"/>
            </w:tcBorders>
            <w:shd w:val="clear" w:color="auto" w:fill="FAF6EF"/>
          </w:tcPr>
          <w:p>
            <w:pPr>
              <w:spacing w:after="0"/>
              <w:rPr>
                <w:sz w:val="14"/>
                <w:szCs w:val="14"/>
                <w:color w:val="auto"/>
              </w:rPr>
            </w:pPr>
          </w:p>
        </w:tc>
        <w:tc>
          <w:tcPr>
            <w:tcW w:w="1360" w:type="dxa"/>
            <w:vAlign w:val="bottom"/>
            <w:vMerge w:val="restart"/>
            <w:shd w:val="clear" w:color="auto" w:fill="FAF6EF"/>
          </w:tcPr>
          <w:p>
            <w:pPr>
              <w:jc w:val="center"/>
              <w:ind w:left="422"/>
              <w:spacing w:after="0"/>
              <w:rPr>
                <w:sz w:val="20"/>
                <w:szCs w:val="20"/>
                <w:color w:val="auto"/>
              </w:rPr>
            </w:pPr>
            <w:r>
              <w:rPr>
                <w:rFonts w:ascii="Arial" w:cs="Arial" w:eastAsia="Arial" w:hAnsi="Arial"/>
                <w:sz w:val="16"/>
                <w:szCs w:val="16"/>
                <w:color w:val="auto"/>
              </w:rPr>
              <w:t>150,000</w:t>
            </w:r>
          </w:p>
        </w:tc>
        <w:tc>
          <w:tcPr>
            <w:tcW w:w="500" w:type="dxa"/>
            <w:vAlign w:val="bottom"/>
            <w:shd w:val="clear" w:color="auto" w:fill="FAF6EF"/>
          </w:tcPr>
          <w:p>
            <w:pPr>
              <w:spacing w:after="0"/>
              <w:rPr>
                <w:sz w:val="14"/>
                <w:szCs w:val="14"/>
                <w:color w:val="auto"/>
              </w:rPr>
            </w:pPr>
          </w:p>
        </w:tc>
        <w:tc>
          <w:tcPr>
            <w:tcW w:w="120" w:type="dxa"/>
            <w:vAlign w:val="bottom"/>
            <w:tcBorders>
              <w:right w:val="single" w:sz="8" w:color="7D7D7D"/>
            </w:tcBorders>
            <w:shd w:val="clear" w:color="auto" w:fill="FAF6EF"/>
          </w:tcPr>
          <w:p>
            <w:pPr>
              <w:spacing w:after="0"/>
              <w:rPr>
                <w:sz w:val="14"/>
                <w:szCs w:val="14"/>
                <w:color w:val="auto"/>
              </w:rPr>
            </w:pPr>
          </w:p>
        </w:tc>
        <w:tc>
          <w:tcPr>
            <w:tcW w:w="1860" w:type="dxa"/>
            <w:vAlign w:val="bottom"/>
            <w:gridSpan w:val="2"/>
            <w:vMerge w:val="restart"/>
            <w:shd w:val="clear" w:color="auto" w:fill="FAF6EF"/>
          </w:tcPr>
          <w:p>
            <w:pPr>
              <w:jc w:val="center"/>
              <w:spacing w:after="0"/>
              <w:rPr>
                <w:sz w:val="20"/>
                <w:szCs w:val="20"/>
                <w:color w:val="auto"/>
              </w:rPr>
            </w:pPr>
            <w:r>
              <w:rPr>
                <w:rFonts w:ascii="Arial" w:cs="Arial" w:eastAsia="Arial" w:hAnsi="Arial"/>
                <w:sz w:val="16"/>
                <w:szCs w:val="16"/>
                <w:color w:val="auto"/>
                <w:w w:val="97"/>
              </w:rPr>
              <w:t>11,838,000</w:t>
            </w:r>
          </w:p>
        </w:tc>
        <w:tc>
          <w:tcPr>
            <w:tcW w:w="140" w:type="dxa"/>
            <w:vAlign w:val="bottom"/>
            <w:tcBorders>
              <w:right w:val="single" w:sz="8" w:color="7D7D7D"/>
            </w:tcBorders>
            <w:shd w:val="clear" w:color="auto" w:fill="FAF6EF"/>
          </w:tcPr>
          <w:p>
            <w:pPr>
              <w:spacing w:after="0"/>
              <w:rPr>
                <w:sz w:val="14"/>
                <w:szCs w:val="14"/>
                <w:color w:val="auto"/>
              </w:rPr>
            </w:pPr>
          </w:p>
        </w:tc>
        <w:tc>
          <w:tcPr>
            <w:tcW w:w="1800" w:type="dxa"/>
            <w:vAlign w:val="bottom"/>
            <w:tcBorders>
              <w:right w:val="single" w:sz="8" w:color="7D7D7D"/>
            </w:tcBorders>
            <w:vMerge w:val="restart"/>
            <w:shd w:val="clear" w:color="auto" w:fill="FAF6EF"/>
          </w:tcPr>
          <w:p>
            <w:pPr>
              <w:jc w:val="center"/>
              <w:ind w:right="43"/>
              <w:spacing w:after="0"/>
              <w:rPr>
                <w:sz w:val="20"/>
                <w:szCs w:val="20"/>
                <w:color w:val="auto"/>
              </w:rPr>
            </w:pPr>
            <w:r>
              <w:rPr>
                <w:rFonts w:ascii="Arial" w:cs="Arial" w:eastAsia="Arial" w:hAnsi="Arial"/>
                <w:sz w:val="16"/>
                <w:szCs w:val="16"/>
                <w:color w:val="auto"/>
                <w:w w:val="98"/>
              </w:rPr>
              <w:t>16,000</w:t>
            </w:r>
          </w:p>
        </w:tc>
        <w:tc>
          <w:tcPr>
            <w:tcW w:w="158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3,284,320</w:t>
            </w:r>
          </w:p>
        </w:tc>
        <w:tc>
          <w:tcPr>
            <w:tcW w:w="20" w:type="dxa"/>
            <w:vAlign w:val="bottom"/>
            <w:shd w:val="clear" w:color="auto" w:fill="7D7D7D"/>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60" w:type="dxa"/>
            <w:vAlign w:val="bottom"/>
            <w:tcBorders>
              <w:left w:val="single" w:sz="8" w:color="7D7D7D"/>
            </w:tcBorders>
            <w:shd w:val="clear" w:color="auto" w:fill="FAF6EF"/>
          </w:tcPr>
          <w:p>
            <w:pPr>
              <w:spacing w:after="0"/>
              <w:rPr>
                <w:sz w:val="10"/>
                <w:szCs w:val="10"/>
                <w:color w:val="auto"/>
              </w:rPr>
            </w:pPr>
          </w:p>
        </w:tc>
        <w:tc>
          <w:tcPr>
            <w:tcW w:w="120" w:type="dxa"/>
            <w:vAlign w:val="bottom"/>
            <w:tcBorders>
              <w:right w:val="single" w:sz="8" w:color="7D7D7D"/>
            </w:tcBorders>
            <w:shd w:val="clear" w:color="auto" w:fill="FAF6EF"/>
          </w:tcPr>
          <w:p>
            <w:pPr>
              <w:spacing w:after="0"/>
              <w:rPr>
                <w:sz w:val="10"/>
                <w:szCs w:val="10"/>
                <w:color w:val="auto"/>
              </w:rPr>
            </w:pPr>
          </w:p>
        </w:tc>
        <w:tc>
          <w:tcPr>
            <w:tcW w:w="1360" w:type="dxa"/>
            <w:vAlign w:val="bottom"/>
            <w:vMerge w:val="continue"/>
            <w:shd w:val="clear" w:color="auto" w:fill="FAF6EF"/>
          </w:tcPr>
          <w:p>
            <w:pPr>
              <w:spacing w:after="0"/>
              <w:rPr>
                <w:sz w:val="10"/>
                <w:szCs w:val="10"/>
                <w:color w:val="auto"/>
              </w:rPr>
            </w:pPr>
          </w:p>
        </w:tc>
        <w:tc>
          <w:tcPr>
            <w:tcW w:w="500" w:type="dxa"/>
            <w:vAlign w:val="bottom"/>
            <w:shd w:val="clear" w:color="auto" w:fill="FAF6EF"/>
          </w:tcPr>
          <w:p>
            <w:pPr>
              <w:spacing w:after="0"/>
              <w:rPr>
                <w:sz w:val="10"/>
                <w:szCs w:val="10"/>
                <w:color w:val="auto"/>
              </w:rPr>
            </w:pPr>
          </w:p>
        </w:tc>
        <w:tc>
          <w:tcPr>
            <w:tcW w:w="120" w:type="dxa"/>
            <w:vAlign w:val="bottom"/>
            <w:tcBorders>
              <w:right w:val="single" w:sz="8" w:color="7D7D7D"/>
            </w:tcBorders>
            <w:shd w:val="clear" w:color="auto" w:fill="FAF6EF"/>
          </w:tcPr>
          <w:p>
            <w:pPr>
              <w:spacing w:after="0"/>
              <w:rPr>
                <w:sz w:val="10"/>
                <w:szCs w:val="10"/>
                <w:color w:val="auto"/>
              </w:rPr>
            </w:pPr>
          </w:p>
        </w:tc>
        <w:tc>
          <w:tcPr>
            <w:tcW w:w="1860" w:type="dxa"/>
            <w:vAlign w:val="bottom"/>
            <w:gridSpan w:val="2"/>
            <w:vMerge w:val="continue"/>
            <w:shd w:val="clear" w:color="auto" w:fill="FAF6EF"/>
          </w:tcPr>
          <w:p>
            <w:pPr>
              <w:spacing w:after="0"/>
              <w:rPr>
                <w:sz w:val="10"/>
                <w:szCs w:val="10"/>
                <w:color w:val="auto"/>
              </w:rPr>
            </w:pPr>
          </w:p>
        </w:tc>
        <w:tc>
          <w:tcPr>
            <w:tcW w:w="140" w:type="dxa"/>
            <w:vAlign w:val="bottom"/>
            <w:tcBorders>
              <w:right w:val="single" w:sz="8" w:color="7D7D7D"/>
            </w:tcBorders>
            <w:shd w:val="clear" w:color="auto" w:fill="FAF6EF"/>
          </w:tcPr>
          <w:p>
            <w:pPr>
              <w:spacing w:after="0"/>
              <w:rPr>
                <w:sz w:val="10"/>
                <w:szCs w:val="10"/>
                <w:color w:val="auto"/>
              </w:rPr>
            </w:pPr>
          </w:p>
        </w:tc>
        <w:tc>
          <w:tcPr>
            <w:tcW w:w="1800" w:type="dxa"/>
            <w:vAlign w:val="bottom"/>
            <w:tcBorders>
              <w:right w:val="single" w:sz="8" w:color="7D7D7D"/>
            </w:tcBorders>
            <w:vMerge w:val="continue"/>
            <w:shd w:val="clear" w:color="auto" w:fill="FAF6EF"/>
          </w:tcPr>
          <w:p>
            <w:pPr>
              <w:spacing w:after="0"/>
              <w:rPr>
                <w:sz w:val="10"/>
                <w:szCs w:val="10"/>
                <w:color w:val="auto"/>
              </w:rPr>
            </w:pPr>
          </w:p>
        </w:tc>
        <w:tc>
          <w:tcPr>
            <w:tcW w:w="1580" w:type="dxa"/>
            <w:vAlign w:val="bottom"/>
            <w:vMerge w:val="continue"/>
            <w:shd w:val="clear" w:color="auto" w:fill="FAF6EF"/>
          </w:tcPr>
          <w:p>
            <w:pPr>
              <w:spacing w:after="0"/>
              <w:rPr>
                <w:sz w:val="10"/>
                <w:szCs w:val="10"/>
                <w:color w:val="auto"/>
              </w:rPr>
            </w:pP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3760" w:type="dxa"/>
            <w:vAlign w:val="bottom"/>
            <w:tcBorders>
              <w:left w:val="single" w:sz="8" w:color="7D7D7D"/>
              <w:bottom w:val="single" w:sz="8" w:color="FAF6EF"/>
            </w:tcBorders>
            <w:shd w:val="clear" w:color="auto" w:fill="FAF6EF"/>
          </w:tcPr>
          <w:p>
            <w:pPr>
              <w:spacing w:after="0"/>
              <w:rPr>
                <w:sz w:val="24"/>
                <w:szCs w:val="24"/>
                <w:color w:val="auto"/>
              </w:rPr>
            </w:pPr>
          </w:p>
        </w:tc>
        <w:tc>
          <w:tcPr>
            <w:tcW w:w="120" w:type="dxa"/>
            <w:vAlign w:val="bottom"/>
            <w:tcBorders>
              <w:bottom w:val="single" w:sz="8" w:color="FAF6EF"/>
              <w:right w:val="single" w:sz="8" w:color="7D7D7D"/>
            </w:tcBorders>
            <w:shd w:val="clear" w:color="auto" w:fill="FAF6EF"/>
          </w:tcPr>
          <w:p>
            <w:pPr>
              <w:spacing w:after="0"/>
              <w:rPr>
                <w:sz w:val="24"/>
                <w:szCs w:val="24"/>
                <w:color w:val="auto"/>
              </w:rPr>
            </w:pPr>
          </w:p>
        </w:tc>
        <w:tc>
          <w:tcPr>
            <w:tcW w:w="1360" w:type="dxa"/>
            <w:vAlign w:val="bottom"/>
            <w:tcBorders>
              <w:bottom w:val="single" w:sz="8" w:color="FAF6EF"/>
            </w:tcBorders>
            <w:shd w:val="clear" w:color="auto" w:fill="FAF6EF"/>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Borders>
              <w:bottom w:val="single" w:sz="8" w:color="FAF6EF"/>
            </w:tcBorders>
            <w:shd w:val="clear" w:color="auto" w:fill="FAF6EF"/>
          </w:tcPr>
          <w:p>
            <w:pPr>
              <w:spacing w:after="0"/>
              <w:rPr>
                <w:sz w:val="24"/>
                <w:szCs w:val="24"/>
                <w:color w:val="auto"/>
              </w:rPr>
            </w:pPr>
          </w:p>
        </w:tc>
        <w:tc>
          <w:tcPr>
            <w:tcW w:w="120" w:type="dxa"/>
            <w:vAlign w:val="bottom"/>
            <w:tcBorders>
              <w:bottom w:val="single" w:sz="8" w:color="FAF6EF"/>
              <w:right w:val="single" w:sz="8" w:color="7D7D7D"/>
            </w:tcBorders>
            <w:shd w:val="clear" w:color="auto" w:fill="FAF6EF"/>
          </w:tcPr>
          <w:p>
            <w:pPr>
              <w:spacing w:after="0"/>
              <w:rPr>
                <w:sz w:val="24"/>
                <w:szCs w:val="24"/>
                <w:color w:val="auto"/>
              </w:rPr>
            </w:pPr>
          </w:p>
        </w:tc>
        <w:tc>
          <w:tcPr>
            <w:tcW w:w="1860" w:type="dxa"/>
            <w:vAlign w:val="bottom"/>
            <w:tcBorders>
              <w:bottom w:val="single" w:sz="8" w:color="FAF6EF"/>
            </w:tcBorders>
            <w:gridSpan w:val="2"/>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FAF6EF"/>
              <w:right w:val="single" w:sz="8" w:color="7D7D7D"/>
            </w:tcBorders>
            <w:shd w:val="clear" w:color="auto" w:fill="FAF6EF"/>
          </w:tcPr>
          <w:p>
            <w:pPr>
              <w:spacing w:after="0"/>
              <w:rPr>
                <w:sz w:val="24"/>
                <w:szCs w:val="24"/>
                <w:color w:val="auto"/>
              </w:rPr>
            </w:pPr>
          </w:p>
        </w:tc>
        <w:tc>
          <w:tcPr>
            <w:tcW w:w="1800" w:type="dxa"/>
            <w:vAlign w:val="bottom"/>
            <w:tcBorders>
              <w:bottom w:val="single" w:sz="8" w:color="FAF6EF"/>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w w:val="98"/>
              </w:rPr>
              <w:t>20,000</w:t>
            </w:r>
          </w:p>
        </w:tc>
        <w:tc>
          <w:tcPr>
            <w:tcW w:w="158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98"/>
              </w:rPr>
              <w:t>4,105,400</w:t>
            </w:r>
          </w:p>
        </w:tc>
        <w:tc>
          <w:tcPr>
            <w:tcW w:w="20" w:type="dxa"/>
            <w:vAlign w:val="bottom"/>
            <w:tcBorders>
              <w:bottom w:val="single" w:sz="8" w:color="7D7D7D"/>
            </w:tcBorders>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760" w:type="dxa"/>
            <w:vAlign w:val="bottom"/>
            <w:tcBorders>
              <w:left w:val="single" w:sz="8" w:color="7D7D7D"/>
            </w:tcBorders>
          </w:tcPr>
          <w:p>
            <w:pPr>
              <w:spacing w:after="0"/>
              <w:rPr>
                <w:sz w:val="22"/>
                <w:szCs w:val="22"/>
                <w:color w:val="auto"/>
              </w:rPr>
            </w:pPr>
          </w:p>
        </w:tc>
        <w:tc>
          <w:tcPr>
            <w:tcW w:w="120" w:type="dxa"/>
            <w:vAlign w:val="bottom"/>
            <w:tcBorders>
              <w:right w:val="single" w:sz="8" w:color="7D7D7D"/>
            </w:tcBorders>
          </w:tcPr>
          <w:p>
            <w:pPr>
              <w:spacing w:after="0"/>
              <w:rPr>
                <w:sz w:val="22"/>
                <w:szCs w:val="22"/>
                <w:color w:val="auto"/>
              </w:rPr>
            </w:pPr>
          </w:p>
        </w:tc>
        <w:tc>
          <w:tcPr>
            <w:tcW w:w="1360" w:type="dxa"/>
            <w:vAlign w:val="bottom"/>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22"/>
                <w:szCs w:val="22"/>
                <w:color w:val="auto"/>
              </w:rPr>
            </w:pPr>
          </w:p>
        </w:tc>
        <w:tc>
          <w:tcPr>
            <w:tcW w:w="120" w:type="dxa"/>
            <w:vAlign w:val="bottom"/>
            <w:tcBorders>
              <w:right w:val="single" w:sz="8" w:color="7D7D7D"/>
            </w:tcBorders>
          </w:tcPr>
          <w:p>
            <w:pPr>
              <w:spacing w:after="0"/>
              <w:rPr>
                <w:sz w:val="22"/>
                <w:szCs w:val="22"/>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22"/>
                <w:szCs w:val="22"/>
                <w:color w:val="auto"/>
              </w:rPr>
            </w:pPr>
          </w:p>
        </w:tc>
        <w:tc>
          <w:tcPr>
            <w:tcW w:w="180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w w:val="98"/>
              </w:rPr>
              <w:t>10,400</w:t>
            </w:r>
          </w:p>
        </w:tc>
        <w:tc>
          <w:tcPr>
            <w:tcW w:w="1580" w:type="dxa"/>
            <w:vAlign w:val="bottom"/>
          </w:tcPr>
          <w:p>
            <w:pPr>
              <w:jc w:val="center"/>
              <w:spacing w:after="0"/>
              <w:rPr>
                <w:sz w:val="20"/>
                <w:szCs w:val="20"/>
                <w:color w:val="auto"/>
              </w:rPr>
            </w:pPr>
            <w:r>
              <w:rPr>
                <w:rFonts w:ascii="Arial" w:cs="Arial" w:eastAsia="Arial" w:hAnsi="Arial"/>
                <w:sz w:val="16"/>
                <w:szCs w:val="16"/>
                <w:color w:val="auto"/>
                <w:w w:val="98"/>
              </w:rPr>
              <w:t>2,214,680</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3760" w:type="dxa"/>
            <w:vAlign w:val="bottom"/>
            <w:tcBorders>
              <w:left w:val="single" w:sz="8" w:color="7D7D7D"/>
            </w:tcBorders>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360" w:type="dxa"/>
            <w:vAlign w:val="bottom"/>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24"/>
                <w:szCs w:val="24"/>
                <w:color w:val="auto"/>
              </w:rPr>
            </w:pPr>
          </w:p>
        </w:tc>
        <w:tc>
          <w:tcPr>
            <w:tcW w:w="180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w w:val="99"/>
              </w:rPr>
              <w:t>7,800</w:t>
            </w:r>
          </w:p>
        </w:tc>
        <w:tc>
          <w:tcPr>
            <w:tcW w:w="1580" w:type="dxa"/>
            <w:vAlign w:val="bottom"/>
          </w:tcPr>
          <w:p>
            <w:pPr>
              <w:jc w:val="center"/>
              <w:spacing w:after="0"/>
              <w:rPr>
                <w:sz w:val="20"/>
                <w:szCs w:val="20"/>
                <w:color w:val="auto"/>
              </w:rPr>
            </w:pPr>
            <w:r>
              <w:rPr>
                <w:rFonts w:ascii="Arial" w:cs="Arial" w:eastAsia="Arial" w:hAnsi="Arial"/>
                <w:sz w:val="16"/>
                <w:szCs w:val="16"/>
                <w:color w:val="auto"/>
                <w:w w:val="98"/>
              </w:rPr>
              <w:t>1,661,010</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760" w:type="dxa"/>
            <w:vAlign w:val="bottom"/>
            <w:tcBorders>
              <w:left w:val="single" w:sz="8" w:color="7D7D7D"/>
            </w:tcBorders>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360" w:type="dxa"/>
            <w:vAlign w:val="bottom"/>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24"/>
                <w:szCs w:val="24"/>
                <w:color w:val="auto"/>
              </w:rPr>
            </w:pPr>
          </w:p>
        </w:tc>
        <w:tc>
          <w:tcPr>
            <w:tcW w:w="180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w w:val="99"/>
              </w:rPr>
              <w:t>5,200</w:t>
            </w:r>
          </w:p>
        </w:tc>
        <w:tc>
          <w:tcPr>
            <w:tcW w:w="1580" w:type="dxa"/>
            <w:vAlign w:val="bottom"/>
          </w:tcPr>
          <w:p>
            <w:pPr>
              <w:jc w:val="center"/>
              <w:spacing w:after="0"/>
              <w:rPr>
                <w:sz w:val="20"/>
                <w:szCs w:val="20"/>
                <w:color w:val="auto"/>
              </w:rPr>
            </w:pPr>
            <w:r>
              <w:rPr>
                <w:rFonts w:ascii="Arial" w:cs="Arial" w:eastAsia="Arial" w:hAnsi="Arial"/>
                <w:sz w:val="16"/>
                <w:szCs w:val="16"/>
                <w:color w:val="auto"/>
                <w:w w:val="98"/>
              </w:rPr>
              <w:t>1,107,340</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760" w:type="dxa"/>
            <w:vAlign w:val="bottom"/>
            <w:tcBorders>
              <w:left w:val="single" w:sz="8" w:color="7D7D7D"/>
            </w:tcBorders>
            <w:vMerge w:val="restart"/>
          </w:tcPr>
          <w:p>
            <w:pPr>
              <w:ind w:left="120"/>
              <w:spacing w:after="0"/>
              <w:rPr>
                <w:sz w:val="20"/>
                <w:szCs w:val="20"/>
                <w:color w:val="auto"/>
              </w:rPr>
            </w:pPr>
            <w:r>
              <w:rPr>
                <w:rFonts w:ascii="Arial" w:cs="Arial" w:eastAsia="Arial" w:hAnsi="Arial"/>
                <w:sz w:val="16"/>
                <w:szCs w:val="16"/>
                <w:b w:val="1"/>
                <w:bCs w:val="1"/>
                <w:color w:val="auto"/>
              </w:rPr>
              <w:t>Mandy Yang</w:t>
            </w:r>
          </w:p>
        </w:tc>
        <w:tc>
          <w:tcPr>
            <w:tcW w:w="120" w:type="dxa"/>
            <w:vAlign w:val="bottom"/>
            <w:tcBorders>
              <w:right w:val="single" w:sz="8" w:color="7D7D7D"/>
            </w:tcBorders>
          </w:tcPr>
          <w:p>
            <w:pPr>
              <w:spacing w:after="0"/>
              <w:rPr>
                <w:sz w:val="24"/>
                <w:szCs w:val="24"/>
                <w:color w:val="auto"/>
              </w:rPr>
            </w:pPr>
          </w:p>
        </w:tc>
        <w:tc>
          <w:tcPr>
            <w:tcW w:w="1360" w:type="dxa"/>
            <w:vAlign w:val="bottom"/>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24"/>
                <w:szCs w:val="24"/>
                <w:color w:val="auto"/>
              </w:rPr>
            </w:pPr>
          </w:p>
        </w:tc>
        <w:tc>
          <w:tcPr>
            <w:tcW w:w="180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w w:val="99"/>
              </w:rPr>
              <w:t>2,500</w:t>
            </w: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257,525</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760" w:type="dxa"/>
            <w:vAlign w:val="bottom"/>
            <w:tcBorders>
              <w:left w:val="single" w:sz="8" w:color="7D7D7D"/>
            </w:tcBorders>
            <w:vMerge w:val="continue"/>
          </w:tcPr>
          <w:p>
            <w:pPr>
              <w:spacing w:after="0"/>
              <w:rPr>
                <w:sz w:val="14"/>
                <w:szCs w:val="14"/>
                <w:color w:val="auto"/>
              </w:rPr>
            </w:pPr>
          </w:p>
        </w:tc>
        <w:tc>
          <w:tcPr>
            <w:tcW w:w="120" w:type="dxa"/>
            <w:vAlign w:val="bottom"/>
            <w:tcBorders>
              <w:right w:val="single" w:sz="8" w:color="7D7D7D"/>
            </w:tcBorders>
          </w:tcPr>
          <w:p>
            <w:pPr>
              <w:spacing w:after="0"/>
              <w:rPr>
                <w:sz w:val="14"/>
                <w:szCs w:val="14"/>
                <w:color w:val="auto"/>
              </w:rPr>
            </w:pPr>
          </w:p>
        </w:tc>
        <w:tc>
          <w:tcPr>
            <w:tcW w:w="1360" w:type="dxa"/>
            <w:vAlign w:val="bottom"/>
            <w:vMerge w:val="restart"/>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14"/>
                <w:szCs w:val="14"/>
                <w:color w:val="auto"/>
              </w:rPr>
            </w:pPr>
          </w:p>
        </w:tc>
        <w:tc>
          <w:tcPr>
            <w:tcW w:w="120" w:type="dxa"/>
            <w:vAlign w:val="bottom"/>
            <w:tcBorders>
              <w:right w:val="single" w:sz="8" w:color="7D7D7D"/>
            </w:tcBorders>
          </w:tcPr>
          <w:p>
            <w:pPr>
              <w:spacing w:after="0"/>
              <w:rPr>
                <w:sz w:val="14"/>
                <w:szCs w:val="14"/>
                <w:color w:val="auto"/>
              </w:rPr>
            </w:pPr>
          </w:p>
        </w:tc>
        <w:tc>
          <w:tcPr>
            <w:tcW w:w="1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14"/>
                <w:szCs w:val="14"/>
                <w:color w:val="auto"/>
              </w:rPr>
            </w:pPr>
          </w:p>
        </w:tc>
        <w:tc>
          <w:tcPr>
            <w:tcW w:w="1800" w:type="dxa"/>
            <w:vAlign w:val="bottom"/>
            <w:tcBorders>
              <w:right w:val="single" w:sz="8" w:color="7D7D7D"/>
            </w:tcBorders>
            <w:vMerge w:val="restart"/>
          </w:tcPr>
          <w:p>
            <w:pPr>
              <w:jc w:val="center"/>
              <w:ind w:right="43"/>
              <w:spacing w:after="0"/>
              <w:rPr>
                <w:sz w:val="20"/>
                <w:szCs w:val="20"/>
                <w:color w:val="auto"/>
              </w:rPr>
            </w:pPr>
            <w:r>
              <w:rPr>
                <w:rFonts w:ascii="Arial" w:cs="Arial" w:eastAsia="Arial" w:hAnsi="Arial"/>
                <w:sz w:val="16"/>
                <w:szCs w:val="16"/>
                <w:color w:val="auto"/>
                <w:w w:val="98"/>
              </w:rPr>
              <w:t>10,000</w:t>
            </w:r>
          </w:p>
        </w:tc>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2,102,200</w:t>
            </w:r>
          </w:p>
        </w:tc>
        <w:tc>
          <w:tcPr>
            <w:tcW w:w="20" w:type="dxa"/>
            <w:vAlign w:val="bottom"/>
            <w:shd w:val="clear" w:color="auto" w:fill="7D7D7D"/>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Borders>
              <w:left w:val="single" w:sz="8" w:color="7D7D7D"/>
            </w:tcBorders>
          </w:tcPr>
          <w:p>
            <w:pPr>
              <w:spacing w:after="0"/>
              <w:rPr>
                <w:sz w:val="12"/>
                <w:szCs w:val="12"/>
                <w:color w:val="auto"/>
              </w:rPr>
            </w:pPr>
          </w:p>
        </w:tc>
        <w:tc>
          <w:tcPr>
            <w:tcW w:w="120" w:type="dxa"/>
            <w:vAlign w:val="bottom"/>
            <w:tcBorders>
              <w:right w:val="single" w:sz="8" w:color="7D7D7D"/>
            </w:tcBorders>
          </w:tcPr>
          <w:p>
            <w:pPr>
              <w:spacing w:after="0"/>
              <w:rPr>
                <w:sz w:val="12"/>
                <w:szCs w:val="12"/>
                <w:color w:val="auto"/>
              </w:rPr>
            </w:pPr>
          </w:p>
        </w:tc>
        <w:tc>
          <w:tcPr>
            <w:tcW w:w="13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7D7D7D"/>
            </w:tcBorders>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40" w:type="dxa"/>
            <w:vAlign w:val="bottom"/>
            <w:tcBorders>
              <w:right w:val="single" w:sz="8" w:color="7D7D7D"/>
            </w:tcBorders>
          </w:tcPr>
          <w:p>
            <w:pPr>
              <w:spacing w:after="0"/>
              <w:rPr>
                <w:sz w:val="12"/>
                <w:szCs w:val="12"/>
                <w:color w:val="auto"/>
              </w:rPr>
            </w:pPr>
          </w:p>
        </w:tc>
        <w:tc>
          <w:tcPr>
            <w:tcW w:w="1800" w:type="dxa"/>
            <w:vAlign w:val="bottom"/>
            <w:tcBorders>
              <w:right w:val="single" w:sz="8" w:color="7D7D7D"/>
            </w:tcBorders>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20" w:type="dxa"/>
            <w:vAlign w:val="bottom"/>
            <w:shd w:val="clear" w:color="auto" w:fill="7D7D7D"/>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3760" w:type="dxa"/>
            <w:vAlign w:val="bottom"/>
            <w:tcBorders>
              <w:left w:val="single" w:sz="8" w:color="7D7D7D"/>
            </w:tcBorders>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360" w:type="dxa"/>
            <w:vAlign w:val="bottom"/>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24"/>
                <w:szCs w:val="24"/>
                <w:color w:val="auto"/>
              </w:rPr>
            </w:pPr>
          </w:p>
        </w:tc>
        <w:tc>
          <w:tcPr>
            <w:tcW w:w="180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w w:val="99"/>
              </w:rPr>
              <w:t>2,500</w:t>
            </w: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436,450</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760" w:type="dxa"/>
            <w:vAlign w:val="bottom"/>
            <w:tcBorders>
              <w:left w:val="single" w:sz="8" w:color="7D7D7D"/>
            </w:tcBorders>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360" w:type="dxa"/>
            <w:vAlign w:val="bottom"/>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24"/>
                <w:szCs w:val="24"/>
                <w:color w:val="auto"/>
              </w:rPr>
            </w:pPr>
          </w:p>
        </w:tc>
        <w:tc>
          <w:tcPr>
            <w:tcW w:w="180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w w:val="99"/>
              </w:rPr>
              <w:t>6,000</w:t>
            </w:r>
          </w:p>
        </w:tc>
        <w:tc>
          <w:tcPr>
            <w:tcW w:w="1580" w:type="dxa"/>
            <w:vAlign w:val="bottom"/>
          </w:tcPr>
          <w:p>
            <w:pPr>
              <w:jc w:val="center"/>
              <w:spacing w:after="0"/>
              <w:rPr>
                <w:sz w:val="20"/>
                <w:szCs w:val="20"/>
                <w:color w:val="auto"/>
              </w:rPr>
            </w:pPr>
            <w:r>
              <w:rPr>
                <w:rFonts w:ascii="Arial" w:cs="Arial" w:eastAsia="Arial" w:hAnsi="Arial"/>
                <w:sz w:val="16"/>
                <w:szCs w:val="16"/>
                <w:color w:val="auto"/>
                <w:w w:val="98"/>
              </w:rPr>
              <w:t>1,277,700</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760" w:type="dxa"/>
            <w:vAlign w:val="bottom"/>
            <w:tcBorders>
              <w:left w:val="single" w:sz="8" w:color="7D7D7D"/>
            </w:tcBorders>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360" w:type="dxa"/>
            <w:vAlign w:val="bottom"/>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24"/>
                <w:szCs w:val="24"/>
                <w:color w:val="auto"/>
              </w:rPr>
            </w:pPr>
          </w:p>
        </w:tc>
        <w:tc>
          <w:tcPr>
            <w:tcW w:w="180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w w:val="99"/>
              </w:rPr>
              <w:t>2,500</w:t>
            </w: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300,575</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3760" w:type="dxa"/>
            <w:vAlign w:val="bottom"/>
            <w:tcBorders>
              <w:left w:val="single" w:sz="8" w:color="7D7D7D"/>
            </w:tcBorders>
          </w:tcPr>
          <w:p>
            <w:pPr>
              <w:spacing w:after="0"/>
              <w:rPr>
                <w:sz w:val="4"/>
                <w:szCs w:val="4"/>
                <w:color w:val="auto"/>
              </w:rPr>
            </w:pPr>
          </w:p>
        </w:tc>
        <w:tc>
          <w:tcPr>
            <w:tcW w:w="120" w:type="dxa"/>
            <w:vAlign w:val="bottom"/>
            <w:tcBorders>
              <w:right w:val="single" w:sz="8" w:color="7D7D7D"/>
            </w:tcBorders>
          </w:tcPr>
          <w:p>
            <w:pPr>
              <w:spacing w:after="0"/>
              <w:rPr>
                <w:sz w:val="4"/>
                <w:szCs w:val="4"/>
                <w:color w:val="auto"/>
              </w:rPr>
            </w:pPr>
          </w:p>
        </w:tc>
        <w:tc>
          <w:tcPr>
            <w:tcW w:w="1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Borders>
              <w:right w:val="single" w:sz="8" w:color="7D7D7D"/>
            </w:tcBorders>
          </w:tcPr>
          <w:p>
            <w:pPr>
              <w:spacing w:after="0"/>
              <w:rPr>
                <w:sz w:val="4"/>
                <w:szCs w:val="4"/>
                <w:color w:val="auto"/>
              </w:rPr>
            </w:pPr>
          </w:p>
        </w:tc>
        <w:tc>
          <w:tcPr>
            <w:tcW w:w="1860" w:type="dxa"/>
            <w:vAlign w:val="bottom"/>
            <w:gridSpan w:val="2"/>
          </w:tcPr>
          <w:p>
            <w:pPr>
              <w:spacing w:after="0"/>
              <w:rPr>
                <w:sz w:val="4"/>
                <w:szCs w:val="4"/>
                <w:color w:val="auto"/>
              </w:rPr>
            </w:pPr>
          </w:p>
        </w:tc>
        <w:tc>
          <w:tcPr>
            <w:tcW w:w="140" w:type="dxa"/>
            <w:vAlign w:val="bottom"/>
            <w:tcBorders>
              <w:right w:val="single" w:sz="8" w:color="7D7D7D"/>
            </w:tcBorders>
          </w:tcPr>
          <w:p>
            <w:pPr>
              <w:spacing w:after="0"/>
              <w:rPr>
                <w:sz w:val="4"/>
                <w:szCs w:val="4"/>
                <w:color w:val="auto"/>
              </w:rPr>
            </w:pPr>
          </w:p>
        </w:tc>
        <w:tc>
          <w:tcPr>
            <w:tcW w:w="1800" w:type="dxa"/>
            <w:vAlign w:val="bottom"/>
            <w:tcBorders>
              <w:right w:val="single" w:sz="8" w:color="7D7D7D"/>
            </w:tcBorders>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shd w:val="clear" w:color="auto" w:fill="7D7D7D"/>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760" w:type="dxa"/>
            <w:vAlign w:val="bottom"/>
            <w:tcBorders>
              <w:left w:val="single" w:sz="8" w:color="7D7D7D"/>
            </w:tcBorders>
            <w:shd w:val="clear" w:color="auto" w:fill="FAF6EF"/>
          </w:tcPr>
          <w:p>
            <w:pPr>
              <w:spacing w:after="0"/>
              <w:rPr>
                <w:sz w:val="22"/>
                <w:szCs w:val="22"/>
                <w:color w:val="auto"/>
              </w:rPr>
            </w:pPr>
          </w:p>
        </w:tc>
        <w:tc>
          <w:tcPr>
            <w:tcW w:w="120" w:type="dxa"/>
            <w:vAlign w:val="bottom"/>
            <w:tcBorders>
              <w:right w:val="single" w:sz="8" w:color="7D7D7D"/>
            </w:tcBorders>
            <w:shd w:val="clear" w:color="auto" w:fill="FAF6EF"/>
          </w:tcPr>
          <w:p>
            <w:pPr>
              <w:spacing w:after="0"/>
              <w:rPr>
                <w:sz w:val="22"/>
                <w:szCs w:val="22"/>
                <w:color w:val="auto"/>
              </w:rPr>
            </w:pPr>
          </w:p>
        </w:tc>
        <w:tc>
          <w:tcPr>
            <w:tcW w:w="1360" w:type="dxa"/>
            <w:vAlign w:val="bottom"/>
            <w:shd w:val="clear" w:color="auto" w:fill="FAF6EF"/>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shd w:val="clear" w:color="auto" w:fill="FAF6EF"/>
          </w:tcPr>
          <w:p>
            <w:pPr>
              <w:spacing w:after="0"/>
              <w:rPr>
                <w:sz w:val="22"/>
                <w:szCs w:val="22"/>
                <w:color w:val="auto"/>
              </w:rPr>
            </w:pPr>
          </w:p>
        </w:tc>
        <w:tc>
          <w:tcPr>
            <w:tcW w:w="120" w:type="dxa"/>
            <w:vAlign w:val="bottom"/>
            <w:tcBorders>
              <w:right w:val="single" w:sz="8" w:color="7D7D7D"/>
            </w:tcBorders>
            <w:shd w:val="clear" w:color="auto" w:fill="FAF6EF"/>
          </w:tcPr>
          <w:p>
            <w:pPr>
              <w:spacing w:after="0"/>
              <w:rPr>
                <w:sz w:val="22"/>
                <w:szCs w:val="22"/>
                <w:color w:val="auto"/>
              </w:rPr>
            </w:pPr>
          </w:p>
        </w:tc>
        <w:tc>
          <w:tcPr>
            <w:tcW w:w="1860" w:type="dxa"/>
            <w:vAlign w:val="bottom"/>
            <w:gridSpan w:val="2"/>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shd w:val="clear" w:color="auto" w:fill="FAF6EF"/>
          </w:tcPr>
          <w:p>
            <w:pPr>
              <w:spacing w:after="0"/>
              <w:rPr>
                <w:sz w:val="22"/>
                <w:szCs w:val="22"/>
                <w:color w:val="auto"/>
              </w:rPr>
            </w:pPr>
          </w:p>
        </w:tc>
        <w:tc>
          <w:tcPr>
            <w:tcW w:w="1800" w:type="dxa"/>
            <w:vAlign w:val="bottom"/>
            <w:tcBorders>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w w:val="99"/>
              </w:rPr>
              <w:t>6,400</w:t>
            </w:r>
          </w:p>
        </w:tc>
        <w:tc>
          <w:tcPr>
            <w:tcW w:w="15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1,362,880</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3760" w:type="dxa"/>
            <w:vAlign w:val="bottom"/>
            <w:tcBorders>
              <w:left w:val="single" w:sz="8" w:color="7D7D7D"/>
            </w:tcBorders>
            <w:shd w:val="clear" w:color="auto" w:fill="FAF6EF"/>
          </w:tcPr>
          <w:p>
            <w:pPr>
              <w:spacing w:after="0"/>
              <w:rPr>
                <w:sz w:val="24"/>
                <w:szCs w:val="24"/>
                <w:color w:val="auto"/>
              </w:rPr>
            </w:pPr>
          </w:p>
        </w:tc>
        <w:tc>
          <w:tcPr>
            <w:tcW w:w="120" w:type="dxa"/>
            <w:vAlign w:val="bottom"/>
            <w:tcBorders>
              <w:right w:val="single" w:sz="8" w:color="7D7D7D"/>
            </w:tcBorders>
            <w:shd w:val="clear" w:color="auto" w:fill="FAF6EF"/>
          </w:tcPr>
          <w:p>
            <w:pPr>
              <w:spacing w:after="0"/>
              <w:rPr>
                <w:sz w:val="24"/>
                <w:szCs w:val="24"/>
                <w:color w:val="auto"/>
              </w:rPr>
            </w:pPr>
          </w:p>
        </w:tc>
        <w:tc>
          <w:tcPr>
            <w:tcW w:w="1360" w:type="dxa"/>
            <w:vAlign w:val="bottom"/>
            <w:shd w:val="clear" w:color="auto" w:fill="FAF6EF"/>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shd w:val="clear" w:color="auto" w:fill="FAF6EF"/>
          </w:tcPr>
          <w:p>
            <w:pPr>
              <w:spacing w:after="0"/>
              <w:rPr>
                <w:sz w:val="24"/>
                <w:szCs w:val="24"/>
                <w:color w:val="auto"/>
              </w:rPr>
            </w:pPr>
          </w:p>
        </w:tc>
        <w:tc>
          <w:tcPr>
            <w:tcW w:w="120" w:type="dxa"/>
            <w:vAlign w:val="bottom"/>
            <w:tcBorders>
              <w:right w:val="single" w:sz="8" w:color="7D7D7D"/>
            </w:tcBorders>
            <w:shd w:val="clear" w:color="auto" w:fill="FAF6EF"/>
          </w:tcPr>
          <w:p>
            <w:pPr>
              <w:spacing w:after="0"/>
              <w:rPr>
                <w:sz w:val="24"/>
                <w:szCs w:val="24"/>
                <w:color w:val="auto"/>
              </w:rPr>
            </w:pPr>
          </w:p>
        </w:tc>
        <w:tc>
          <w:tcPr>
            <w:tcW w:w="1860" w:type="dxa"/>
            <w:vAlign w:val="bottom"/>
            <w:gridSpan w:val="2"/>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shd w:val="clear" w:color="auto" w:fill="FAF6EF"/>
          </w:tcPr>
          <w:p>
            <w:pPr>
              <w:spacing w:after="0"/>
              <w:rPr>
                <w:sz w:val="24"/>
                <w:szCs w:val="24"/>
                <w:color w:val="auto"/>
              </w:rPr>
            </w:pPr>
          </w:p>
        </w:tc>
        <w:tc>
          <w:tcPr>
            <w:tcW w:w="1800" w:type="dxa"/>
            <w:vAlign w:val="bottom"/>
            <w:tcBorders>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w w:val="98"/>
              </w:rPr>
              <w:t>12,800</w:t>
            </w:r>
          </w:p>
        </w:tc>
        <w:tc>
          <w:tcPr>
            <w:tcW w:w="15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2,725,760</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760" w:type="dxa"/>
            <w:vAlign w:val="bottom"/>
            <w:tcBorders>
              <w:lef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120" w:type="dxa"/>
            <w:vAlign w:val="bottom"/>
            <w:tcBorders>
              <w:right w:val="single" w:sz="8" w:color="7D7D7D"/>
            </w:tcBorders>
            <w:shd w:val="clear" w:color="auto" w:fill="FAF6EF"/>
          </w:tcPr>
          <w:p>
            <w:pPr>
              <w:spacing w:after="0"/>
              <w:rPr>
                <w:sz w:val="24"/>
                <w:szCs w:val="24"/>
                <w:color w:val="auto"/>
              </w:rPr>
            </w:pPr>
          </w:p>
        </w:tc>
        <w:tc>
          <w:tcPr>
            <w:tcW w:w="1360" w:type="dxa"/>
            <w:vAlign w:val="bottom"/>
            <w:shd w:val="clear" w:color="auto" w:fill="FAF6EF"/>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shd w:val="clear" w:color="auto" w:fill="FAF6EF"/>
          </w:tcPr>
          <w:p>
            <w:pPr>
              <w:spacing w:after="0"/>
              <w:rPr>
                <w:sz w:val="24"/>
                <w:szCs w:val="24"/>
                <w:color w:val="auto"/>
              </w:rPr>
            </w:pPr>
          </w:p>
        </w:tc>
        <w:tc>
          <w:tcPr>
            <w:tcW w:w="120" w:type="dxa"/>
            <w:vAlign w:val="bottom"/>
            <w:tcBorders>
              <w:right w:val="single" w:sz="8" w:color="7D7D7D"/>
            </w:tcBorders>
            <w:shd w:val="clear" w:color="auto" w:fill="FAF6EF"/>
          </w:tcPr>
          <w:p>
            <w:pPr>
              <w:spacing w:after="0"/>
              <w:rPr>
                <w:sz w:val="24"/>
                <w:szCs w:val="24"/>
                <w:color w:val="auto"/>
              </w:rPr>
            </w:pPr>
          </w:p>
        </w:tc>
        <w:tc>
          <w:tcPr>
            <w:tcW w:w="1860" w:type="dxa"/>
            <w:vAlign w:val="bottom"/>
            <w:gridSpan w:val="2"/>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shd w:val="clear" w:color="auto" w:fill="FAF6EF"/>
          </w:tcPr>
          <w:p>
            <w:pPr>
              <w:spacing w:after="0"/>
              <w:rPr>
                <w:sz w:val="24"/>
                <w:szCs w:val="24"/>
                <w:color w:val="auto"/>
              </w:rPr>
            </w:pPr>
          </w:p>
        </w:tc>
        <w:tc>
          <w:tcPr>
            <w:tcW w:w="1800" w:type="dxa"/>
            <w:vAlign w:val="bottom"/>
            <w:tcBorders>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w w:val="99"/>
              </w:rPr>
              <w:t>6,400</w:t>
            </w:r>
          </w:p>
        </w:tc>
        <w:tc>
          <w:tcPr>
            <w:tcW w:w="15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1,362,880</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760" w:type="dxa"/>
            <w:vAlign w:val="bottom"/>
            <w:tcBorders>
              <w:left w:val="single" w:sz="8" w:color="7D7D7D"/>
            </w:tcBorders>
            <w:shd w:val="clear" w:color="auto" w:fill="FAF6EF"/>
          </w:tcPr>
          <w:p>
            <w:pPr>
              <w:spacing w:after="0"/>
              <w:rPr>
                <w:sz w:val="24"/>
                <w:szCs w:val="24"/>
                <w:color w:val="auto"/>
              </w:rPr>
            </w:pPr>
          </w:p>
        </w:tc>
        <w:tc>
          <w:tcPr>
            <w:tcW w:w="120" w:type="dxa"/>
            <w:vAlign w:val="bottom"/>
            <w:tcBorders>
              <w:right w:val="single" w:sz="8" w:color="7D7D7D"/>
            </w:tcBorders>
            <w:shd w:val="clear" w:color="auto" w:fill="FAF6EF"/>
          </w:tcPr>
          <w:p>
            <w:pPr>
              <w:spacing w:after="0"/>
              <w:rPr>
                <w:sz w:val="24"/>
                <w:szCs w:val="24"/>
                <w:color w:val="auto"/>
              </w:rPr>
            </w:pPr>
          </w:p>
        </w:tc>
        <w:tc>
          <w:tcPr>
            <w:tcW w:w="1360" w:type="dxa"/>
            <w:vAlign w:val="bottom"/>
            <w:shd w:val="clear" w:color="auto" w:fill="FAF6EF"/>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shd w:val="clear" w:color="auto" w:fill="FAF6EF"/>
          </w:tcPr>
          <w:p>
            <w:pPr>
              <w:spacing w:after="0"/>
              <w:rPr>
                <w:sz w:val="24"/>
                <w:szCs w:val="24"/>
                <w:color w:val="auto"/>
              </w:rPr>
            </w:pPr>
          </w:p>
        </w:tc>
        <w:tc>
          <w:tcPr>
            <w:tcW w:w="120" w:type="dxa"/>
            <w:vAlign w:val="bottom"/>
            <w:tcBorders>
              <w:right w:val="single" w:sz="8" w:color="7D7D7D"/>
            </w:tcBorders>
            <w:shd w:val="clear" w:color="auto" w:fill="FAF6EF"/>
          </w:tcPr>
          <w:p>
            <w:pPr>
              <w:spacing w:after="0"/>
              <w:rPr>
                <w:sz w:val="24"/>
                <w:szCs w:val="24"/>
                <w:color w:val="auto"/>
              </w:rPr>
            </w:pPr>
          </w:p>
        </w:tc>
        <w:tc>
          <w:tcPr>
            <w:tcW w:w="1860" w:type="dxa"/>
            <w:vAlign w:val="bottom"/>
            <w:gridSpan w:val="2"/>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shd w:val="clear" w:color="auto" w:fill="FAF6EF"/>
          </w:tcPr>
          <w:p>
            <w:pPr>
              <w:spacing w:after="0"/>
              <w:rPr>
                <w:sz w:val="24"/>
                <w:szCs w:val="24"/>
                <w:color w:val="auto"/>
              </w:rPr>
            </w:pPr>
          </w:p>
        </w:tc>
        <w:tc>
          <w:tcPr>
            <w:tcW w:w="1800" w:type="dxa"/>
            <w:vAlign w:val="bottom"/>
            <w:tcBorders>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w w:val="99"/>
              </w:rPr>
              <w:t>3,750</w:t>
            </w:r>
          </w:p>
        </w:tc>
        <w:tc>
          <w:tcPr>
            <w:tcW w:w="15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6"/>
              </w:rPr>
              <w:t>292,425</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760" w:type="dxa"/>
            <w:vAlign w:val="bottom"/>
            <w:tcBorders>
              <w:left w:val="single" w:sz="8" w:color="7D7D7D"/>
              <w:bottom w:val="single" w:sz="8" w:color="FAF6EF"/>
            </w:tcBorders>
            <w:shd w:val="clear" w:color="auto" w:fill="FAF6EF"/>
          </w:tcPr>
          <w:p>
            <w:pPr>
              <w:spacing w:after="0"/>
              <w:rPr>
                <w:sz w:val="24"/>
                <w:szCs w:val="24"/>
                <w:color w:val="auto"/>
              </w:rPr>
            </w:pPr>
          </w:p>
        </w:tc>
        <w:tc>
          <w:tcPr>
            <w:tcW w:w="120" w:type="dxa"/>
            <w:vAlign w:val="bottom"/>
            <w:tcBorders>
              <w:bottom w:val="single" w:sz="8" w:color="FAF6EF"/>
              <w:right w:val="single" w:sz="8" w:color="7D7D7D"/>
            </w:tcBorders>
            <w:shd w:val="clear" w:color="auto" w:fill="FAF6EF"/>
          </w:tcPr>
          <w:p>
            <w:pPr>
              <w:spacing w:after="0"/>
              <w:rPr>
                <w:sz w:val="24"/>
                <w:szCs w:val="24"/>
                <w:color w:val="auto"/>
              </w:rPr>
            </w:pPr>
          </w:p>
        </w:tc>
        <w:tc>
          <w:tcPr>
            <w:tcW w:w="1360" w:type="dxa"/>
            <w:vAlign w:val="bottom"/>
            <w:tcBorders>
              <w:bottom w:val="single" w:sz="8" w:color="FAF6EF"/>
            </w:tcBorders>
            <w:shd w:val="clear" w:color="auto" w:fill="FAF6EF"/>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Borders>
              <w:bottom w:val="single" w:sz="8" w:color="FAF6EF"/>
            </w:tcBorders>
            <w:shd w:val="clear" w:color="auto" w:fill="FAF6EF"/>
          </w:tcPr>
          <w:p>
            <w:pPr>
              <w:spacing w:after="0"/>
              <w:rPr>
                <w:sz w:val="24"/>
                <w:szCs w:val="24"/>
                <w:color w:val="auto"/>
              </w:rPr>
            </w:pPr>
          </w:p>
        </w:tc>
        <w:tc>
          <w:tcPr>
            <w:tcW w:w="120" w:type="dxa"/>
            <w:vAlign w:val="bottom"/>
            <w:tcBorders>
              <w:bottom w:val="single" w:sz="8" w:color="FAF6EF"/>
              <w:right w:val="single" w:sz="8" w:color="7D7D7D"/>
            </w:tcBorders>
            <w:shd w:val="clear" w:color="auto" w:fill="FAF6EF"/>
          </w:tcPr>
          <w:p>
            <w:pPr>
              <w:spacing w:after="0"/>
              <w:rPr>
                <w:sz w:val="24"/>
                <w:szCs w:val="24"/>
                <w:color w:val="auto"/>
              </w:rPr>
            </w:pPr>
          </w:p>
        </w:tc>
        <w:tc>
          <w:tcPr>
            <w:tcW w:w="1860" w:type="dxa"/>
            <w:vAlign w:val="bottom"/>
            <w:tcBorders>
              <w:bottom w:val="single" w:sz="8" w:color="FAF6EF"/>
            </w:tcBorders>
            <w:gridSpan w:val="2"/>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FAF6EF"/>
              <w:right w:val="single" w:sz="8" w:color="7D7D7D"/>
            </w:tcBorders>
            <w:shd w:val="clear" w:color="auto" w:fill="FAF6EF"/>
          </w:tcPr>
          <w:p>
            <w:pPr>
              <w:spacing w:after="0"/>
              <w:rPr>
                <w:sz w:val="24"/>
                <w:szCs w:val="24"/>
                <w:color w:val="auto"/>
              </w:rPr>
            </w:pPr>
          </w:p>
        </w:tc>
        <w:tc>
          <w:tcPr>
            <w:tcW w:w="1800" w:type="dxa"/>
            <w:vAlign w:val="bottom"/>
            <w:tcBorders>
              <w:bottom w:val="single" w:sz="8" w:color="FAF6EF"/>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w w:val="99"/>
              </w:rPr>
              <w:t>8,000</w:t>
            </w:r>
          </w:p>
        </w:tc>
        <w:tc>
          <w:tcPr>
            <w:tcW w:w="158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98"/>
              </w:rPr>
              <w:t>1,703,600</w:t>
            </w:r>
          </w:p>
        </w:tc>
        <w:tc>
          <w:tcPr>
            <w:tcW w:w="20" w:type="dxa"/>
            <w:vAlign w:val="bottom"/>
            <w:tcBorders>
              <w:bottom w:val="single" w:sz="8" w:color="7D7D7D"/>
            </w:tcBorders>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760" w:type="dxa"/>
            <w:vAlign w:val="bottom"/>
            <w:tcBorders>
              <w:left w:val="single" w:sz="8" w:color="7D7D7D"/>
            </w:tcBorders>
          </w:tcPr>
          <w:p>
            <w:pPr>
              <w:spacing w:after="0"/>
              <w:rPr>
                <w:sz w:val="22"/>
                <w:szCs w:val="22"/>
                <w:color w:val="auto"/>
              </w:rPr>
            </w:pPr>
          </w:p>
        </w:tc>
        <w:tc>
          <w:tcPr>
            <w:tcW w:w="120" w:type="dxa"/>
            <w:vAlign w:val="bottom"/>
            <w:tcBorders>
              <w:right w:val="single" w:sz="8" w:color="7D7D7D"/>
            </w:tcBorders>
          </w:tcPr>
          <w:p>
            <w:pPr>
              <w:spacing w:after="0"/>
              <w:rPr>
                <w:sz w:val="22"/>
                <w:szCs w:val="22"/>
                <w:color w:val="auto"/>
              </w:rPr>
            </w:pPr>
          </w:p>
        </w:tc>
        <w:tc>
          <w:tcPr>
            <w:tcW w:w="1360" w:type="dxa"/>
            <w:vAlign w:val="bottom"/>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22"/>
                <w:szCs w:val="22"/>
                <w:color w:val="auto"/>
              </w:rPr>
            </w:pPr>
          </w:p>
        </w:tc>
        <w:tc>
          <w:tcPr>
            <w:tcW w:w="120" w:type="dxa"/>
            <w:vAlign w:val="bottom"/>
            <w:tcBorders>
              <w:right w:val="single" w:sz="8" w:color="7D7D7D"/>
            </w:tcBorders>
          </w:tcPr>
          <w:p>
            <w:pPr>
              <w:spacing w:after="0"/>
              <w:rPr>
                <w:sz w:val="22"/>
                <w:szCs w:val="22"/>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22"/>
                <w:szCs w:val="22"/>
                <w:color w:val="auto"/>
              </w:rPr>
            </w:pPr>
          </w:p>
        </w:tc>
        <w:tc>
          <w:tcPr>
            <w:tcW w:w="180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w w:val="98"/>
              </w:rPr>
              <w:t>16,000</w:t>
            </w:r>
          </w:p>
        </w:tc>
        <w:tc>
          <w:tcPr>
            <w:tcW w:w="1580" w:type="dxa"/>
            <w:vAlign w:val="bottom"/>
          </w:tcPr>
          <w:p>
            <w:pPr>
              <w:jc w:val="center"/>
              <w:spacing w:after="0"/>
              <w:rPr>
                <w:sz w:val="20"/>
                <w:szCs w:val="20"/>
                <w:color w:val="auto"/>
              </w:rPr>
            </w:pPr>
            <w:r>
              <w:rPr>
                <w:rFonts w:ascii="Arial" w:cs="Arial" w:eastAsia="Arial" w:hAnsi="Arial"/>
                <w:sz w:val="16"/>
                <w:szCs w:val="16"/>
                <w:color w:val="auto"/>
                <w:w w:val="98"/>
              </w:rPr>
              <w:t>3,407,200</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3760" w:type="dxa"/>
            <w:vAlign w:val="bottom"/>
            <w:tcBorders>
              <w:left w:val="single" w:sz="8" w:color="7D7D7D"/>
            </w:tcBorders>
            <w:vMerge w:val="restart"/>
          </w:tcPr>
          <w:p>
            <w:pPr>
              <w:ind w:left="120"/>
              <w:spacing w:after="0"/>
              <w:rPr>
                <w:sz w:val="20"/>
                <w:szCs w:val="20"/>
                <w:color w:val="auto"/>
              </w:rPr>
            </w:pPr>
            <w:r>
              <w:rPr>
                <w:rFonts w:ascii="Arial" w:cs="Arial" w:eastAsia="Arial" w:hAnsi="Arial"/>
                <w:sz w:val="16"/>
                <w:szCs w:val="16"/>
                <w:b w:val="1"/>
                <w:bCs w:val="1"/>
                <w:color w:val="auto"/>
              </w:rPr>
              <w:t>Jeffrey McNeil</w:t>
            </w:r>
          </w:p>
        </w:tc>
        <w:tc>
          <w:tcPr>
            <w:tcW w:w="120" w:type="dxa"/>
            <w:vAlign w:val="bottom"/>
            <w:tcBorders>
              <w:right w:val="single" w:sz="8" w:color="7D7D7D"/>
            </w:tcBorders>
          </w:tcPr>
          <w:p>
            <w:pPr>
              <w:spacing w:after="0"/>
              <w:rPr>
                <w:sz w:val="24"/>
                <w:szCs w:val="24"/>
                <w:color w:val="auto"/>
              </w:rPr>
            </w:pPr>
          </w:p>
        </w:tc>
        <w:tc>
          <w:tcPr>
            <w:tcW w:w="1360" w:type="dxa"/>
            <w:vAlign w:val="bottom"/>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24"/>
                <w:szCs w:val="24"/>
                <w:color w:val="auto"/>
              </w:rPr>
            </w:pPr>
          </w:p>
        </w:tc>
        <w:tc>
          <w:tcPr>
            <w:tcW w:w="180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w w:val="99"/>
              </w:rPr>
              <w:t>8,000</w:t>
            </w:r>
          </w:p>
        </w:tc>
        <w:tc>
          <w:tcPr>
            <w:tcW w:w="1580" w:type="dxa"/>
            <w:vAlign w:val="bottom"/>
          </w:tcPr>
          <w:p>
            <w:pPr>
              <w:jc w:val="center"/>
              <w:spacing w:after="0"/>
              <w:rPr>
                <w:sz w:val="20"/>
                <w:szCs w:val="20"/>
                <w:color w:val="auto"/>
              </w:rPr>
            </w:pPr>
            <w:r>
              <w:rPr>
                <w:rFonts w:ascii="Arial" w:cs="Arial" w:eastAsia="Arial" w:hAnsi="Arial"/>
                <w:sz w:val="16"/>
                <w:szCs w:val="16"/>
                <w:color w:val="auto"/>
                <w:w w:val="98"/>
              </w:rPr>
              <w:t>1,703,600</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760" w:type="dxa"/>
            <w:vAlign w:val="bottom"/>
            <w:tcBorders>
              <w:left w:val="single" w:sz="8" w:color="7D7D7D"/>
            </w:tcBorders>
            <w:vMerge w:val="continue"/>
          </w:tcPr>
          <w:p>
            <w:pPr>
              <w:spacing w:after="0"/>
              <w:rPr>
                <w:sz w:val="14"/>
                <w:szCs w:val="14"/>
                <w:color w:val="auto"/>
              </w:rPr>
            </w:pPr>
          </w:p>
        </w:tc>
        <w:tc>
          <w:tcPr>
            <w:tcW w:w="120" w:type="dxa"/>
            <w:vAlign w:val="bottom"/>
            <w:tcBorders>
              <w:right w:val="single" w:sz="8" w:color="7D7D7D"/>
            </w:tcBorders>
          </w:tcPr>
          <w:p>
            <w:pPr>
              <w:spacing w:after="0"/>
              <w:rPr>
                <w:sz w:val="14"/>
                <w:szCs w:val="14"/>
                <w:color w:val="auto"/>
              </w:rPr>
            </w:pPr>
          </w:p>
        </w:tc>
        <w:tc>
          <w:tcPr>
            <w:tcW w:w="1360" w:type="dxa"/>
            <w:vAlign w:val="bottom"/>
            <w:vMerge w:val="restart"/>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14"/>
                <w:szCs w:val="14"/>
                <w:color w:val="auto"/>
              </w:rPr>
            </w:pPr>
          </w:p>
        </w:tc>
        <w:tc>
          <w:tcPr>
            <w:tcW w:w="120" w:type="dxa"/>
            <w:vAlign w:val="bottom"/>
            <w:tcBorders>
              <w:right w:val="single" w:sz="8" w:color="7D7D7D"/>
            </w:tcBorders>
          </w:tcPr>
          <w:p>
            <w:pPr>
              <w:spacing w:after="0"/>
              <w:rPr>
                <w:sz w:val="14"/>
                <w:szCs w:val="14"/>
                <w:color w:val="auto"/>
              </w:rPr>
            </w:pPr>
          </w:p>
        </w:tc>
        <w:tc>
          <w:tcPr>
            <w:tcW w:w="1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14"/>
                <w:szCs w:val="14"/>
                <w:color w:val="auto"/>
              </w:rPr>
            </w:pPr>
          </w:p>
        </w:tc>
        <w:tc>
          <w:tcPr>
            <w:tcW w:w="1800" w:type="dxa"/>
            <w:vAlign w:val="bottom"/>
            <w:tcBorders>
              <w:right w:val="single" w:sz="8" w:color="7D7D7D"/>
            </w:tcBorders>
            <w:vMerge w:val="restart"/>
          </w:tcPr>
          <w:p>
            <w:pPr>
              <w:jc w:val="center"/>
              <w:ind w:right="43"/>
              <w:spacing w:after="0"/>
              <w:rPr>
                <w:sz w:val="20"/>
                <w:szCs w:val="20"/>
                <w:color w:val="auto"/>
              </w:rPr>
            </w:pPr>
            <w:r>
              <w:rPr>
                <w:rFonts w:ascii="Arial" w:cs="Arial" w:eastAsia="Arial" w:hAnsi="Arial"/>
                <w:sz w:val="16"/>
                <w:szCs w:val="16"/>
                <w:color w:val="auto"/>
                <w:w w:val="98"/>
              </w:rPr>
              <w:t>10,000</w:t>
            </w:r>
          </w:p>
        </w:tc>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2,129,500</w:t>
            </w:r>
          </w:p>
        </w:tc>
        <w:tc>
          <w:tcPr>
            <w:tcW w:w="20" w:type="dxa"/>
            <w:vAlign w:val="bottom"/>
            <w:shd w:val="clear" w:color="auto" w:fill="7D7D7D"/>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Borders>
              <w:left w:val="single" w:sz="8" w:color="7D7D7D"/>
            </w:tcBorders>
          </w:tcPr>
          <w:p>
            <w:pPr>
              <w:spacing w:after="0"/>
              <w:rPr>
                <w:sz w:val="12"/>
                <w:szCs w:val="12"/>
                <w:color w:val="auto"/>
              </w:rPr>
            </w:pPr>
          </w:p>
        </w:tc>
        <w:tc>
          <w:tcPr>
            <w:tcW w:w="120" w:type="dxa"/>
            <w:vAlign w:val="bottom"/>
            <w:tcBorders>
              <w:right w:val="single" w:sz="8" w:color="7D7D7D"/>
            </w:tcBorders>
          </w:tcPr>
          <w:p>
            <w:pPr>
              <w:spacing w:after="0"/>
              <w:rPr>
                <w:sz w:val="12"/>
                <w:szCs w:val="12"/>
                <w:color w:val="auto"/>
              </w:rPr>
            </w:pPr>
          </w:p>
        </w:tc>
        <w:tc>
          <w:tcPr>
            <w:tcW w:w="13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7D7D7D"/>
            </w:tcBorders>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40" w:type="dxa"/>
            <w:vAlign w:val="bottom"/>
            <w:tcBorders>
              <w:right w:val="single" w:sz="8" w:color="7D7D7D"/>
            </w:tcBorders>
          </w:tcPr>
          <w:p>
            <w:pPr>
              <w:spacing w:after="0"/>
              <w:rPr>
                <w:sz w:val="12"/>
                <w:szCs w:val="12"/>
                <w:color w:val="auto"/>
              </w:rPr>
            </w:pPr>
          </w:p>
        </w:tc>
        <w:tc>
          <w:tcPr>
            <w:tcW w:w="1800" w:type="dxa"/>
            <w:vAlign w:val="bottom"/>
            <w:tcBorders>
              <w:right w:val="single" w:sz="8" w:color="7D7D7D"/>
            </w:tcBorders>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20" w:type="dxa"/>
            <w:vAlign w:val="bottom"/>
            <w:shd w:val="clear" w:color="auto" w:fill="7D7D7D"/>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3760" w:type="dxa"/>
            <w:vAlign w:val="bottom"/>
            <w:tcBorders>
              <w:left w:val="single" w:sz="8" w:color="7D7D7D"/>
            </w:tcBorders>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360" w:type="dxa"/>
            <w:vAlign w:val="bottom"/>
          </w:tcPr>
          <w:p>
            <w:pPr>
              <w:jc w:val="center"/>
              <w:ind w:left="402"/>
              <w:spacing w:after="0"/>
              <w:rPr>
                <w:sz w:val="20"/>
                <w:szCs w:val="20"/>
                <w:color w:val="auto"/>
              </w:rPr>
            </w:pPr>
            <w:r>
              <w:rPr>
                <w:rFonts w:ascii="Arial" w:cs="Arial" w:eastAsia="Arial" w:hAnsi="Arial"/>
                <w:sz w:val="16"/>
                <w:szCs w:val="16"/>
                <w:color w:val="auto"/>
                <w:w w:val="99"/>
              </w:rPr>
              <w:t>—</w:t>
            </w:r>
          </w:p>
        </w:tc>
        <w:tc>
          <w:tcPr>
            <w:tcW w:w="500" w:type="dxa"/>
            <w:vAlign w:val="bottom"/>
          </w:tcPr>
          <w:p>
            <w:pPr>
              <w:spacing w:after="0"/>
              <w:rPr>
                <w:sz w:val="24"/>
                <w:szCs w:val="24"/>
                <w:color w:val="auto"/>
              </w:rPr>
            </w:pPr>
          </w:p>
        </w:tc>
        <w:tc>
          <w:tcPr>
            <w:tcW w:w="120" w:type="dxa"/>
            <w:vAlign w:val="bottom"/>
            <w:tcBorders>
              <w:right w:val="single" w:sz="8" w:color="7D7D7D"/>
            </w:tcBorders>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7D7D7D"/>
            </w:tcBorders>
          </w:tcPr>
          <w:p>
            <w:pPr>
              <w:spacing w:after="0"/>
              <w:rPr>
                <w:sz w:val="24"/>
                <w:szCs w:val="24"/>
                <w:color w:val="auto"/>
              </w:rPr>
            </w:pPr>
          </w:p>
        </w:tc>
        <w:tc>
          <w:tcPr>
            <w:tcW w:w="180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w w:val="99"/>
              </w:rPr>
              <w:t>8,000</w:t>
            </w:r>
          </w:p>
        </w:tc>
        <w:tc>
          <w:tcPr>
            <w:tcW w:w="1580" w:type="dxa"/>
            <w:vAlign w:val="bottom"/>
          </w:tcPr>
          <w:p>
            <w:pPr>
              <w:jc w:val="center"/>
              <w:spacing w:after="0"/>
              <w:rPr>
                <w:sz w:val="20"/>
                <w:szCs w:val="20"/>
                <w:color w:val="auto"/>
              </w:rPr>
            </w:pPr>
            <w:r>
              <w:rPr>
                <w:rFonts w:ascii="Arial" w:cs="Arial" w:eastAsia="Arial" w:hAnsi="Arial"/>
                <w:sz w:val="16"/>
                <w:szCs w:val="16"/>
                <w:color w:val="auto"/>
                <w:w w:val="98"/>
              </w:rPr>
              <w:t>1,703,600</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3760" w:type="dxa"/>
            <w:vAlign w:val="bottom"/>
            <w:tcBorders>
              <w:left w:val="single" w:sz="8" w:color="7D7D7D"/>
            </w:tcBorders>
          </w:tcPr>
          <w:p>
            <w:pPr>
              <w:spacing w:after="0"/>
              <w:rPr>
                <w:sz w:val="4"/>
                <w:szCs w:val="4"/>
                <w:color w:val="auto"/>
              </w:rPr>
            </w:pPr>
          </w:p>
        </w:tc>
        <w:tc>
          <w:tcPr>
            <w:tcW w:w="120" w:type="dxa"/>
            <w:vAlign w:val="bottom"/>
            <w:tcBorders>
              <w:right w:val="single" w:sz="8" w:color="7D7D7D"/>
            </w:tcBorders>
          </w:tcPr>
          <w:p>
            <w:pPr>
              <w:spacing w:after="0"/>
              <w:rPr>
                <w:sz w:val="4"/>
                <w:szCs w:val="4"/>
                <w:color w:val="auto"/>
              </w:rPr>
            </w:pPr>
          </w:p>
        </w:tc>
        <w:tc>
          <w:tcPr>
            <w:tcW w:w="1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Borders>
              <w:right w:val="single" w:sz="8" w:color="7D7D7D"/>
            </w:tcBorders>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Borders>
              <w:right w:val="single" w:sz="8" w:color="7D7D7D"/>
            </w:tcBorders>
          </w:tcPr>
          <w:p>
            <w:pPr>
              <w:spacing w:after="0"/>
              <w:rPr>
                <w:sz w:val="4"/>
                <w:szCs w:val="4"/>
                <w:color w:val="auto"/>
              </w:rPr>
            </w:pPr>
          </w:p>
        </w:tc>
        <w:tc>
          <w:tcPr>
            <w:tcW w:w="1800" w:type="dxa"/>
            <w:vAlign w:val="bottom"/>
            <w:tcBorders>
              <w:right w:val="single" w:sz="8" w:color="7D7D7D"/>
            </w:tcBorders>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shd w:val="clear" w:color="auto" w:fill="7D7D7D"/>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jc w:val="both"/>
        <w:ind w:left="240" w:right="20" w:hanging="235"/>
        <w:spacing w:after="0" w:line="264" w:lineRule="auto"/>
        <w:tabs>
          <w:tab w:leader="none" w:pos="226" w:val="left"/>
        </w:tabs>
        <w:numPr>
          <w:ilvl w:val="0"/>
          <w:numId w:val="68"/>
        </w:numPr>
        <w:rPr>
          <w:rFonts w:ascii="Arial" w:cs="Arial" w:eastAsia="Arial" w:hAnsi="Arial"/>
          <w:sz w:val="14"/>
          <w:szCs w:val="14"/>
          <w:color w:val="7D7D7D"/>
        </w:rPr>
      </w:pPr>
      <w:r>
        <w:rPr>
          <w:rFonts w:ascii="Arial" w:cs="Arial" w:eastAsia="Arial" w:hAnsi="Arial"/>
          <w:sz w:val="14"/>
          <w:szCs w:val="14"/>
          <w:color w:val="7D7D7D"/>
        </w:rPr>
        <w:t>The amount shown for value realized on exercise of stock options equals (i) the number of shares of our common stock to which the exercise of the stock option related, multiplied by (ii) the difference between the per-share market price of the shares on the date of exercise and the per-share exercise price of the option. If the stock acquired upon exercise was sold on the day of exercise, the market price was determined as the actual sales price of the stock. If the stock acquired upon exercise was not sold on the day of exercise, the market price was determined as the closing price of the stock on the Nasdaq Stock Market on the exercise date.</w:t>
      </w:r>
    </w:p>
    <w:p>
      <w:pPr>
        <w:spacing w:after="0" w:line="23" w:lineRule="exact"/>
        <w:rPr>
          <w:sz w:val="20"/>
          <w:szCs w:val="20"/>
          <w:color w:val="auto"/>
        </w:rPr>
      </w:pPr>
    </w:p>
    <w:p>
      <w:pPr>
        <w:ind w:left="220" w:hanging="215"/>
        <w:spacing w:after="0"/>
        <w:tabs>
          <w:tab w:leader="none" w:pos="220" w:val="left"/>
        </w:tabs>
        <w:numPr>
          <w:ilvl w:val="0"/>
          <w:numId w:val="69"/>
        </w:numPr>
        <w:rPr>
          <w:rFonts w:ascii="Arial" w:cs="Arial" w:eastAsia="Arial" w:hAnsi="Arial"/>
          <w:sz w:val="14"/>
          <w:szCs w:val="14"/>
          <w:color w:val="7D7D7D"/>
        </w:rPr>
      </w:pPr>
      <w:r>
        <w:rPr>
          <w:rFonts w:ascii="Arial" w:cs="Arial" w:eastAsia="Arial" w:hAnsi="Arial"/>
          <w:sz w:val="14"/>
          <w:szCs w:val="14"/>
          <w:color w:val="7D7D7D"/>
        </w:rPr>
        <w:t>Represents the vesting of RSUs and PSUs.</w:t>
      </w:r>
    </w:p>
    <w:p>
      <w:pPr>
        <w:spacing w:after="0" w:line="48" w:lineRule="exact"/>
        <w:rPr>
          <w:sz w:val="20"/>
          <w:szCs w:val="20"/>
          <w:color w:val="auto"/>
        </w:rPr>
      </w:pPr>
    </w:p>
    <w:p>
      <w:pPr>
        <w:ind w:left="240" w:right="20" w:hanging="235"/>
        <w:spacing w:after="0" w:line="287" w:lineRule="auto"/>
        <w:tabs>
          <w:tab w:leader="none" w:pos="226" w:val="left"/>
        </w:tabs>
        <w:numPr>
          <w:ilvl w:val="0"/>
          <w:numId w:val="70"/>
        </w:numPr>
        <w:rPr>
          <w:rFonts w:ascii="Arial" w:cs="Arial" w:eastAsia="Arial" w:hAnsi="Arial"/>
          <w:sz w:val="14"/>
          <w:szCs w:val="14"/>
          <w:color w:val="7D7D7D"/>
        </w:rPr>
      </w:pPr>
      <w:r>
        <w:rPr>
          <w:rFonts w:ascii="Arial" w:cs="Arial" w:eastAsia="Arial" w:hAnsi="Arial"/>
          <w:sz w:val="14"/>
          <w:szCs w:val="14"/>
          <w:color w:val="7D7D7D"/>
        </w:rPr>
        <w:t>The value realized is based on the closing price of our common stock on the vesting date as reported on the Nasdaq Stock Market multiplied by the number of RSUs and PSUs vested, less the par value of the stock issued.</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000" w:right="319" w:bottom="1440" w:gutter="0" w:footer="0" w:header="0"/>
        </w:sectPr>
      </w:pPr>
    </w:p>
    <w:bookmarkStart w:id="59" w:name="page60"/>
    <w:bookmarkEnd w:id="59"/>
    <w:p>
      <w:pPr>
        <w:ind w:right="680"/>
        <w:spacing w:after="0" w:line="305" w:lineRule="auto"/>
        <w:rPr>
          <w:sz w:val="20"/>
          <w:szCs w:val="20"/>
          <w:color w:val="auto"/>
        </w:rPr>
      </w:pPr>
      <w:r>
        <w:rPr>
          <w:rFonts w:ascii="Arial" w:cs="Arial" w:eastAsia="Arial" w:hAnsi="Arial"/>
          <w:sz w:val="31"/>
          <w:szCs w:val="31"/>
          <w:b w:val="1"/>
          <w:bCs w:val="1"/>
          <w:color w:val="auto"/>
        </w:rPr>
        <w:t>Employment Contracts and Termination of Employment and Change of Control Arrangements</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Badrinarayanan Kothandaraman</w:t>
      </w:r>
    </w:p>
    <w:p>
      <w:pPr>
        <w:spacing w:after="0" w:line="1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Mr. Kothandaraman has served as our President and CEO since September 3, 2017, pursuant to an employment offer letter, on an at-will basis. In 2023, Mr. Kothandaraman’s annual base salary was $450,000, with a target bonus opportunity of 100% of his base salary. Mr. Kothandaraman was eligible to participate in the 2023 PSP.</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Mr. Kothandaraman is designated as a Tier I participant in the Severance Plan described below.</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Mandy Yang</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Ms. Yang has served as our as our CFO since February 15, 2022, on an at-will basis. In 2023, Ms. Yang’s annual base salary was increased to $367,500 from $350,000 (effective April 1, 2023), with a target bonus opportunity target of 75% of her base salary. Ms. Yang was eligible to participate in the 2023 PSP.</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Ms. Yang is designated a Tier III Participant in the Severance Plan described below.</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David Ranhoff</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Mr. Ranhoff has served as our CCO since December 1, 2017, pursuant to an employment offer letter, on an at-will basis. In 2023, Mr. Ranhoff’s annual base salary was $400,000, with a bonus target of 75% of his base salary. Mr. Ranhoff was eligible to participate in the 2023 PSP.</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Mr. Ranhoff is designated a Tier I participant in the Severance Plan described below.</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Jeffrey McNeil</w:t>
      </w:r>
    </w:p>
    <w:p>
      <w:pPr>
        <w:spacing w:after="0" w:line="12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Mr. McNeil served as our COO from April 25, 2019 until March 31, 2023, on an at-will basis. Mr. McNeil transitioned from his position as Executive Vice President and COO to a full-time role as Chief Advisor, effective April 1, 2023. Mr. McNeil’s annual base salary was decreased from $400,000 to $200,000 as part of his transition to Chief Advisor, with a bonus target of 75% of his base salary. Mr. McNeil did not participate in the 2023 PSP.</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As part of his transition to Chief Advisor, Mr. McNeil is no longer designated a Tier III participant in the Severance Plan and is not eligible for its benefits.</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Severance and Change in Control Benefit Plan</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2013, the Compensation Committee approved the Severance Plan for executive officers and other key employees, including the NEOs. Upon acceptance by a participant, the Severance Plan superseded and replaced certain existing severance agreements. The Compensation Committee has the authority to designate the participants in the Severance Plan and the level of benefits each such participant will be eligible to receive upon a qualifying termination of employment.</w:t>
      </w:r>
    </w:p>
    <w:p>
      <w:pPr>
        <w:spacing w:after="0" w:line="13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Under the Severance Plan, upon a termination of a participant’s employment by the Company without “cause” or the resignation by a participant for “good reason” (each, an “Involuntary Termination”), or upon an Involuntary Termination in connection with, or within 12 months following, a “change in control” (a “Change in Control Termination”), participants in the Severance Plan generally will be entitled to receive the following severance benefits:</w:t>
      </w:r>
    </w:p>
    <w:p>
      <w:pPr>
        <w:spacing w:after="0" w:line="132" w:lineRule="exact"/>
        <w:rPr>
          <w:sz w:val="20"/>
          <w:szCs w:val="20"/>
          <w:color w:val="auto"/>
        </w:rPr>
      </w:pPr>
    </w:p>
    <w:p>
      <w:pPr>
        <w:ind w:left="320" w:right="800" w:hanging="159"/>
        <w:spacing w:after="0" w:line="318" w:lineRule="auto"/>
        <w:tabs>
          <w:tab w:leader="none" w:pos="297" w:val="left"/>
        </w:tabs>
        <w:numPr>
          <w:ilvl w:val="0"/>
          <w:numId w:val="71"/>
        </w:numPr>
        <w:rPr>
          <w:rFonts w:ascii="Arial" w:cs="Arial" w:eastAsia="Arial" w:hAnsi="Arial"/>
          <w:sz w:val="12"/>
          <w:szCs w:val="12"/>
          <w:color w:val="auto"/>
        </w:rPr>
      </w:pPr>
      <w:r>
        <w:rPr>
          <w:rFonts w:ascii="Arial" w:cs="Arial" w:eastAsia="Arial" w:hAnsi="Arial"/>
          <w:sz w:val="16"/>
          <w:szCs w:val="16"/>
          <w:color w:val="auto"/>
        </w:rPr>
        <w:t>a lump sum cash payment equal to the sum of (a) either 6, 9 or 12 months of the participant’s monthly base salary, and (b) a pro rata portion of the participant’s target annual bonus calculated at 100% of target levels for the year of termination (the “Pro rata Target Bonus”);</w:t>
      </w:r>
    </w:p>
    <w:p>
      <w:pPr>
        <w:spacing w:after="0" w:line="9" w:lineRule="exact"/>
        <w:rPr>
          <w:rFonts w:ascii="Arial" w:cs="Arial" w:eastAsia="Arial" w:hAnsi="Arial"/>
          <w:sz w:val="12"/>
          <w:szCs w:val="12"/>
          <w:color w:val="auto"/>
        </w:rPr>
      </w:pPr>
    </w:p>
    <w:p>
      <w:pPr>
        <w:ind w:left="300" w:hanging="139"/>
        <w:spacing w:after="0"/>
        <w:tabs>
          <w:tab w:leader="none" w:pos="300" w:val="left"/>
        </w:tabs>
        <w:numPr>
          <w:ilvl w:val="0"/>
          <w:numId w:val="71"/>
        </w:numPr>
        <w:rPr>
          <w:rFonts w:ascii="Arial" w:cs="Arial" w:eastAsia="Arial" w:hAnsi="Arial"/>
          <w:sz w:val="12"/>
          <w:szCs w:val="12"/>
          <w:color w:val="auto"/>
        </w:rPr>
      </w:pPr>
      <w:r>
        <w:rPr>
          <w:rFonts w:ascii="Arial" w:cs="Arial" w:eastAsia="Arial" w:hAnsi="Arial"/>
          <w:sz w:val="16"/>
          <w:szCs w:val="16"/>
          <w:color w:val="auto"/>
        </w:rPr>
        <w:t>Company-paid COBRA premiums for continued health insurance for up to 6, 9 or 12 months;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0" w:name="page61"/>
    <w:bookmarkEnd w:id="60"/>
    <w:p>
      <w:pPr>
        <w:ind w:left="300" w:hanging="139"/>
        <w:spacing w:after="0"/>
        <w:tabs>
          <w:tab w:leader="none" w:pos="300" w:val="left"/>
        </w:tabs>
        <w:numPr>
          <w:ilvl w:val="0"/>
          <w:numId w:val="72"/>
        </w:numPr>
        <w:rPr>
          <w:rFonts w:ascii="Arial" w:cs="Arial" w:eastAsia="Arial" w:hAnsi="Arial"/>
          <w:sz w:val="12"/>
          <w:szCs w:val="12"/>
          <w:color w:val="auto"/>
        </w:rPr>
      </w:pPr>
      <w:r>
        <w:rPr>
          <w:rFonts w:ascii="Arial" w:cs="Arial" w:eastAsia="Arial" w:hAnsi="Arial"/>
          <w:sz w:val="16"/>
          <w:szCs w:val="16"/>
          <w:color w:val="auto"/>
        </w:rPr>
        <w:t>in certain cases, accelerated vesting of all or a portion of the participant’s then-outstanding equity awards; and</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72"/>
        </w:numPr>
        <w:rPr>
          <w:rFonts w:ascii="Arial" w:cs="Arial" w:eastAsia="Arial" w:hAnsi="Arial"/>
          <w:sz w:val="12"/>
          <w:szCs w:val="12"/>
          <w:color w:val="auto"/>
        </w:rPr>
      </w:pPr>
      <w:r>
        <w:rPr>
          <w:rFonts w:ascii="Arial" w:cs="Arial" w:eastAsia="Arial" w:hAnsi="Arial"/>
          <w:sz w:val="16"/>
          <w:szCs w:val="16"/>
          <w:color w:val="auto"/>
        </w:rPr>
        <w:t>an extended period of time to exercise any outstanding vested stock options (and other vested equity awards which carry a right to exercise) held by such</w:t>
      </w:r>
    </w:p>
    <w:p>
      <w:pPr>
        <w:spacing w:after="0" w:line="38"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6"/>
          <w:szCs w:val="16"/>
          <w:color w:val="auto"/>
        </w:rPr>
        <w:t>participants as of the date of termination, which extended exercisability period will end upon the earlier of (a) one year following the date of termination and</w:t>
      </w:r>
    </w:p>
    <w:p>
      <w:pPr>
        <w:spacing w:after="0" w:line="25"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6"/>
          <w:szCs w:val="16"/>
          <w:color w:val="auto"/>
        </w:rPr>
        <w:t>(b) the date on which the original term of such equity awards would otherwise expire.</w:t>
      </w:r>
    </w:p>
    <w:p>
      <w:pPr>
        <w:spacing w:after="0" w:line="195"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auto"/>
        </w:rPr>
        <w:t>Receipt of the above benefits is subject to the participant’s execution and non-revocation of a release of claims against Enphase and continued compliance with certain restrictive covenants.</w:t>
      </w:r>
    </w:p>
    <w:p>
      <w:pPr>
        <w:spacing w:after="0" w:line="114"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The amount of cash severance, the duration of the COBRA payment period, and the percentage of accelerated vesting of equity awards, if any, varies based on the participant’s designation as a Tier I Participant, Tier II Participant or Tier III Participant and whether the termination is an Involuntary Termination or a Change in Control Termination,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99695</wp:posOffset>
            </wp:positionV>
            <wp:extent cx="55187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18785" cy="8255"/>
                    </a:xfrm>
                    <a:prstGeom prst="rect">
                      <a:avLst/>
                    </a:prstGeom>
                    <a:noFill/>
                  </pic:spPr>
                </pic:pic>
              </a:graphicData>
            </a:graphic>
          </wp:anchor>
        </w:drawing>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2580" w:type="dxa"/>
            <w:vAlign w:val="bottom"/>
          </w:tcPr>
          <w:p>
            <w:pPr>
              <w:spacing w:after="0"/>
              <w:rPr>
                <w:sz w:val="18"/>
                <w:szCs w:val="18"/>
                <w:color w:val="auto"/>
              </w:rPr>
            </w:pPr>
          </w:p>
        </w:tc>
        <w:tc>
          <w:tcPr>
            <w:tcW w:w="2980" w:type="dxa"/>
            <w:vAlign w:val="bottom"/>
            <w:gridSpan w:val="2"/>
          </w:tcPr>
          <w:p>
            <w:pPr>
              <w:ind w:left="780"/>
              <w:spacing w:after="0"/>
              <w:rPr>
                <w:sz w:val="20"/>
                <w:szCs w:val="20"/>
                <w:color w:val="auto"/>
              </w:rPr>
            </w:pPr>
            <w:r>
              <w:rPr>
                <w:rFonts w:ascii="Arial" w:cs="Arial" w:eastAsia="Arial" w:hAnsi="Arial"/>
                <w:sz w:val="14"/>
                <w:szCs w:val="14"/>
                <w:b w:val="1"/>
                <w:bCs w:val="1"/>
                <w:color w:val="3C3C3C"/>
              </w:rPr>
              <w:t>Cash Severance</w:t>
            </w:r>
            <w:r>
              <w:rPr>
                <w:rFonts w:ascii="Arial" w:cs="Arial" w:eastAsia="Arial" w:hAnsi="Arial"/>
                <w:sz w:val="18"/>
                <w:szCs w:val="18"/>
                <w:b w:val="1"/>
                <w:bCs w:val="1"/>
                <w:color w:val="3C3C3C"/>
                <w:vertAlign w:val="superscript"/>
              </w:rPr>
              <w:t>(1)</w:t>
            </w:r>
          </w:p>
        </w:tc>
        <w:tc>
          <w:tcPr>
            <w:tcW w:w="2900" w:type="dxa"/>
            <w:vAlign w:val="bottom"/>
            <w:gridSpan w:val="2"/>
          </w:tcPr>
          <w:p>
            <w:pPr>
              <w:ind w:left="740"/>
              <w:spacing w:after="0"/>
              <w:rPr>
                <w:sz w:val="20"/>
                <w:szCs w:val="20"/>
                <w:color w:val="auto"/>
              </w:rPr>
            </w:pPr>
            <w:r>
              <w:rPr>
                <w:rFonts w:ascii="Arial" w:cs="Arial" w:eastAsia="Arial" w:hAnsi="Arial"/>
                <w:sz w:val="14"/>
                <w:szCs w:val="14"/>
                <w:b w:val="1"/>
                <w:bCs w:val="1"/>
                <w:color w:val="3C3C3C"/>
              </w:rPr>
              <w:t>COBRA Premiums</w:t>
            </w:r>
          </w:p>
        </w:tc>
        <w:tc>
          <w:tcPr>
            <w:tcW w:w="2780" w:type="dxa"/>
            <w:vAlign w:val="bottom"/>
            <w:gridSpan w:val="2"/>
          </w:tcPr>
          <w:p>
            <w:pPr>
              <w:ind w:left="80"/>
              <w:spacing w:after="0"/>
              <w:rPr>
                <w:sz w:val="20"/>
                <w:szCs w:val="20"/>
                <w:color w:val="auto"/>
              </w:rPr>
            </w:pPr>
            <w:r>
              <w:rPr>
                <w:rFonts w:ascii="Arial" w:cs="Arial" w:eastAsia="Arial" w:hAnsi="Arial"/>
                <w:sz w:val="14"/>
                <w:szCs w:val="14"/>
                <w:b w:val="1"/>
                <w:bCs w:val="1"/>
                <w:color w:val="3C3C3C"/>
              </w:rPr>
              <w:t>Accelerated Vesting of Equity Awards</w:t>
            </w:r>
            <w:r>
              <w:rPr>
                <w:rFonts w:ascii="Arial" w:cs="Arial" w:eastAsia="Arial" w:hAnsi="Arial"/>
                <w:sz w:val="18"/>
                <w:szCs w:val="18"/>
                <w:b w:val="1"/>
                <w:bCs w:val="1"/>
                <w:color w:val="3C3C3C"/>
                <w:vertAlign w:val="superscript"/>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58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1440" w:type="dxa"/>
            <w:vAlign w:val="bottom"/>
            <w:tcBorders>
              <w:right w:val="single" w:sz="8" w:color="3C3C3C"/>
            </w:tcBorders>
            <w:shd w:val="clear" w:color="auto" w:fill="3C3C3C"/>
          </w:tcPr>
          <w:p>
            <w:pPr>
              <w:jc w:val="center"/>
              <w:ind w:right="66"/>
              <w:spacing w:after="0"/>
              <w:rPr>
                <w:sz w:val="20"/>
                <w:szCs w:val="20"/>
                <w:color w:val="auto"/>
              </w:rPr>
            </w:pPr>
            <w:r>
              <w:rPr>
                <w:rFonts w:ascii="Arial" w:cs="Arial" w:eastAsia="Arial" w:hAnsi="Arial"/>
                <w:sz w:val="14"/>
                <w:szCs w:val="14"/>
                <w:b w:val="1"/>
                <w:bCs w:val="1"/>
                <w:color w:val="FFFFFF"/>
                <w:w w:val="98"/>
              </w:rPr>
              <w:t>Involuntary</w:t>
            </w:r>
          </w:p>
        </w:tc>
        <w:tc>
          <w:tcPr>
            <w:tcW w:w="1540" w:type="dxa"/>
            <w:vAlign w:val="bottom"/>
            <w:tcBorders>
              <w:right w:val="single" w:sz="8" w:color="3C3C3C"/>
            </w:tcBorders>
            <w:shd w:val="clear" w:color="auto" w:fill="3C3C3C"/>
          </w:tcPr>
          <w:p>
            <w:pPr>
              <w:jc w:val="center"/>
              <w:ind w:right="145"/>
              <w:spacing w:after="0"/>
              <w:rPr>
                <w:sz w:val="20"/>
                <w:szCs w:val="20"/>
                <w:color w:val="auto"/>
              </w:rPr>
            </w:pPr>
            <w:r>
              <w:rPr>
                <w:rFonts w:ascii="Arial" w:cs="Arial" w:eastAsia="Arial" w:hAnsi="Arial"/>
                <w:sz w:val="14"/>
                <w:szCs w:val="14"/>
                <w:b w:val="1"/>
                <w:bCs w:val="1"/>
                <w:color w:val="FFFFFF"/>
                <w:w w:val="98"/>
              </w:rPr>
              <w:t>Change in Control</w:t>
            </w:r>
          </w:p>
        </w:tc>
        <w:tc>
          <w:tcPr>
            <w:tcW w:w="1400" w:type="dxa"/>
            <w:vAlign w:val="bottom"/>
            <w:tcBorders>
              <w:right w:val="single" w:sz="8" w:color="3C3C3C"/>
            </w:tcBorders>
            <w:shd w:val="clear" w:color="auto" w:fill="3C3C3C"/>
          </w:tcPr>
          <w:p>
            <w:pPr>
              <w:jc w:val="center"/>
              <w:ind w:right="66"/>
              <w:spacing w:after="0"/>
              <w:rPr>
                <w:sz w:val="20"/>
                <w:szCs w:val="20"/>
                <w:color w:val="auto"/>
              </w:rPr>
            </w:pPr>
            <w:r>
              <w:rPr>
                <w:rFonts w:ascii="Arial" w:cs="Arial" w:eastAsia="Arial" w:hAnsi="Arial"/>
                <w:sz w:val="14"/>
                <w:szCs w:val="14"/>
                <w:b w:val="1"/>
                <w:bCs w:val="1"/>
                <w:color w:val="FFFFFF"/>
                <w:w w:val="98"/>
              </w:rPr>
              <w:t>Involuntary</w:t>
            </w:r>
          </w:p>
        </w:tc>
        <w:tc>
          <w:tcPr>
            <w:tcW w:w="1500" w:type="dxa"/>
            <w:vAlign w:val="bottom"/>
            <w:tcBorders>
              <w:right w:val="single" w:sz="8" w:color="3C3C3C"/>
            </w:tcBorders>
            <w:shd w:val="clear" w:color="auto" w:fill="3C3C3C"/>
          </w:tcPr>
          <w:p>
            <w:pPr>
              <w:jc w:val="center"/>
              <w:ind w:right="105"/>
              <w:spacing w:after="0"/>
              <w:rPr>
                <w:sz w:val="20"/>
                <w:szCs w:val="20"/>
                <w:color w:val="auto"/>
              </w:rPr>
            </w:pPr>
            <w:r>
              <w:rPr>
                <w:rFonts w:ascii="Arial" w:cs="Arial" w:eastAsia="Arial" w:hAnsi="Arial"/>
                <w:sz w:val="14"/>
                <w:szCs w:val="14"/>
                <w:b w:val="1"/>
                <w:bCs w:val="1"/>
                <w:color w:val="FFFFFF"/>
                <w:w w:val="98"/>
              </w:rPr>
              <w:t>Change in Control</w:t>
            </w:r>
          </w:p>
        </w:tc>
        <w:tc>
          <w:tcPr>
            <w:tcW w:w="1460" w:type="dxa"/>
            <w:vAlign w:val="bottom"/>
            <w:tcBorders>
              <w:right w:val="single" w:sz="8" w:color="3C3C3C"/>
            </w:tcBorders>
            <w:shd w:val="clear" w:color="auto" w:fill="3C3C3C"/>
          </w:tcPr>
          <w:p>
            <w:pPr>
              <w:jc w:val="center"/>
              <w:ind w:right="66"/>
              <w:spacing w:after="0"/>
              <w:rPr>
                <w:sz w:val="20"/>
                <w:szCs w:val="20"/>
                <w:color w:val="auto"/>
              </w:rPr>
            </w:pPr>
            <w:r>
              <w:rPr>
                <w:rFonts w:ascii="Arial" w:cs="Arial" w:eastAsia="Arial" w:hAnsi="Arial"/>
                <w:sz w:val="14"/>
                <w:szCs w:val="14"/>
                <w:b w:val="1"/>
                <w:bCs w:val="1"/>
                <w:color w:val="FFFFFF"/>
              </w:rPr>
              <w:t>Involuntary</w:t>
            </w:r>
          </w:p>
        </w:tc>
        <w:tc>
          <w:tcPr>
            <w:tcW w:w="132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Change in Control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58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1440" w:type="dxa"/>
            <w:vAlign w:val="bottom"/>
            <w:tcBorders>
              <w:right w:val="single" w:sz="8" w:color="3C3C3C"/>
            </w:tcBorders>
            <w:vMerge w:val="restart"/>
            <w:shd w:val="clear" w:color="auto" w:fill="3C3C3C"/>
          </w:tcPr>
          <w:p>
            <w:pPr>
              <w:jc w:val="center"/>
              <w:ind w:right="66"/>
              <w:spacing w:after="0"/>
              <w:rPr>
                <w:sz w:val="20"/>
                <w:szCs w:val="20"/>
                <w:color w:val="auto"/>
              </w:rPr>
            </w:pPr>
            <w:r>
              <w:rPr>
                <w:rFonts w:ascii="Arial" w:cs="Arial" w:eastAsia="Arial" w:hAnsi="Arial"/>
                <w:sz w:val="14"/>
                <w:szCs w:val="14"/>
                <w:b w:val="1"/>
                <w:bCs w:val="1"/>
                <w:color w:val="FFFFFF"/>
                <w:w w:val="97"/>
              </w:rPr>
              <w:t>Termination</w:t>
            </w:r>
          </w:p>
        </w:tc>
        <w:tc>
          <w:tcPr>
            <w:tcW w:w="1540" w:type="dxa"/>
            <w:vAlign w:val="bottom"/>
            <w:tcBorders>
              <w:right w:val="single" w:sz="8" w:color="3C3C3C"/>
            </w:tcBorders>
            <w:vMerge w:val="restart"/>
            <w:shd w:val="clear" w:color="auto" w:fill="3C3C3C"/>
          </w:tcPr>
          <w:p>
            <w:pPr>
              <w:jc w:val="center"/>
              <w:ind w:right="145"/>
              <w:spacing w:after="0"/>
              <w:rPr>
                <w:sz w:val="20"/>
                <w:szCs w:val="20"/>
                <w:color w:val="auto"/>
              </w:rPr>
            </w:pPr>
            <w:r>
              <w:rPr>
                <w:rFonts w:ascii="Arial" w:cs="Arial" w:eastAsia="Arial" w:hAnsi="Arial"/>
                <w:sz w:val="14"/>
                <w:szCs w:val="14"/>
                <w:b w:val="1"/>
                <w:bCs w:val="1"/>
                <w:color w:val="FFFFFF"/>
                <w:w w:val="99"/>
              </w:rPr>
              <w:t>Termination</w:t>
            </w:r>
          </w:p>
        </w:tc>
        <w:tc>
          <w:tcPr>
            <w:tcW w:w="1400" w:type="dxa"/>
            <w:vAlign w:val="bottom"/>
            <w:tcBorders>
              <w:right w:val="single" w:sz="8" w:color="3C3C3C"/>
            </w:tcBorders>
            <w:vMerge w:val="restart"/>
            <w:shd w:val="clear" w:color="auto" w:fill="3C3C3C"/>
          </w:tcPr>
          <w:p>
            <w:pPr>
              <w:jc w:val="center"/>
              <w:ind w:right="66"/>
              <w:spacing w:after="0"/>
              <w:rPr>
                <w:sz w:val="20"/>
                <w:szCs w:val="20"/>
                <w:color w:val="auto"/>
              </w:rPr>
            </w:pPr>
            <w:r>
              <w:rPr>
                <w:rFonts w:ascii="Arial" w:cs="Arial" w:eastAsia="Arial" w:hAnsi="Arial"/>
                <w:sz w:val="14"/>
                <w:szCs w:val="14"/>
                <w:b w:val="1"/>
                <w:bCs w:val="1"/>
                <w:color w:val="FFFFFF"/>
                <w:w w:val="97"/>
              </w:rPr>
              <w:t>Termination</w:t>
            </w:r>
          </w:p>
        </w:tc>
        <w:tc>
          <w:tcPr>
            <w:tcW w:w="1500" w:type="dxa"/>
            <w:vAlign w:val="bottom"/>
            <w:tcBorders>
              <w:right w:val="single" w:sz="8" w:color="3C3C3C"/>
            </w:tcBorders>
            <w:vMerge w:val="restart"/>
            <w:shd w:val="clear" w:color="auto" w:fill="3C3C3C"/>
          </w:tcPr>
          <w:p>
            <w:pPr>
              <w:jc w:val="center"/>
              <w:ind w:right="105"/>
              <w:spacing w:after="0"/>
              <w:rPr>
                <w:sz w:val="20"/>
                <w:szCs w:val="20"/>
                <w:color w:val="auto"/>
              </w:rPr>
            </w:pPr>
            <w:r>
              <w:rPr>
                <w:rFonts w:ascii="Arial" w:cs="Arial" w:eastAsia="Arial" w:hAnsi="Arial"/>
                <w:sz w:val="14"/>
                <w:szCs w:val="14"/>
                <w:b w:val="1"/>
                <w:bCs w:val="1"/>
                <w:color w:val="FFFFFF"/>
                <w:w w:val="99"/>
              </w:rPr>
              <w:t>Termination</w:t>
            </w:r>
          </w:p>
        </w:tc>
        <w:tc>
          <w:tcPr>
            <w:tcW w:w="1460" w:type="dxa"/>
            <w:vAlign w:val="bottom"/>
            <w:tcBorders>
              <w:right w:val="single" w:sz="8" w:color="3C3C3C"/>
            </w:tcBorders>
            <w:vMerge w:val="restart"/>
            <w:shd w:val="clear" w:color="auto" w:fill="3C3C3C"/>
          </w:tcPr>
          <w:p>
            <w:pPr>
              <w:jc w:val="center"/>
              <w:ind w:right="66"/>
              <w:spacing w:after="0"/>
              <w:rPr>
                <w:sz w:val="20"/>
                <w:szCs w:val="20"/>
                <w:color w:val="auto"/>
              </w:rPr>
            </w:pPr>
            <w:r>
              <w:rPr>
                <w:rFonts w:ascii="Arial" w:cs="Arial" w:eastAsia="Arial" w:hAnsi="Arial"/>
                <w:sz w:val="14"/>
                <w:szCs w:val="14"/>
                <w:b w:val="1"/>
                <w:bCs w:val="1"/>
                <w:color w:val="FFFFFF"/>
                <w:w w:val="98"/>
              </w:rPr>
              <w:t>Termination (%)</w:t>
            </w:r>
          </w:p>
        </w:tc>
        <w:tc>
          <w:tcPr>
            <w:tcW w:w="132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Termination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580" w:type="dxa"/>
            <w:vAlign w:val="bottom"/>
            <w:tcBorders>
              <w:left w:val="single" w:sz="8" w:color="3C3C3C"/>
              <w:right w:val="single" w:sz="8" w:color="3C3C3C"/>
            </w:tcBorders>
            <w:shd w:val="clear" w:color="auto" w:fill="3C3C3C"/>
          </w:tcPr>
          <w:p>
            <w:pPr>
              <w:spacing w:after="0"/>
              <w:rPr>
                <w:sz w:val="9"/>
                <w:szCs w:val="9"/>
                <w:color w:val="auto"/>
              </w:rPr>
            </w:pPr>
          </w:p>
        </w:tc>
        <w:tc>
          <w:tcPr>
            <w:tcW w:w="1440" w:type="dxa"/>
            <w:vAlign w:val="bottom"/>
            <w:tcBorders>
              <w:right w:val="single" w:sz="8" w:color="3C3C3C"/>
            </w:tcBorders>
            <w:vMerge w:val="continue"/>
            <w:shd w:val="clear" w:color="auto" w:fill="3C3C3C"/>
          </w:tcPr>
          <w:p>
            <w:pPr>
              <w:spacing w:after="0"/>
              <w:rPr>
                <w:sz w:val="9"/>
                <w:szCs w:val="9"/>
                <w:color w:val="auto"/>
              </w:rPr>
            </w:pPr>
          </w:p>
        </w:tc>
        <w:tc>
          <w:tcPr>
            <w:tcW w:w="1540" w:type="dxa"/>
            <w:vAlign w:val="bottom"/>
            <w:tcBorders>
              <w:right w:val="single" w:sz="8" w:color="3C3C3C"/>
            </w:tcBorders>
            <w:vMerge w:val="continue"/>
            <w:shd w:val="clear" w:color="auto" w:fill="3C3C3C"/>
          </w:tcPr>
          <w:p>
            <w:pPr>
              <w:spacing w:after="0"/>
              <w:rPr>
                <w:sz w:val="9"/>
                <w:szCs w:val="9"/>
                <w:color w:val="auto"/>
              </w:rPr>
            </w:pPr>
          </w:p>
        </w:tc>
        <w:tc>
          <w:tcPr>
            <w:tcW w:w="1400" w:type="dxa"/>
            <w:vAlign w:val="bottom"/>
            <w:tcBorders>
              <w:right w:val="single" w:sz="8" w:color="3C3C3C"/>
            </w:tcBorders>
            <w:vMerge w:val="continue"/>
            <w:shd w:val="clear" w:color="auto" w:fill="3C3C3C"/>
          </w:tcPr>
          <w:p>
            <w:pPr>
              <w:spacing w:after="0"/>
              <w:rPr>
                <w:sz w:val="9"/>
                <w:szCs w:val="9"/>
                <w:color w:val="auto"/>
              </w:rPr>
            </w:pPr>
          </w:p>
        </w:tc>
        <w:tc>
          <w:tcPr>
            <w:tcW w:w="1500" w:type="dxa"/>
            <w:vAlign w:val="bottom"/>
            <w:tcBorders>
              <w:right w:val="single" w:sz="8" w:color="3C3C3C"/>
            </w:tcBorders>
            <w:vMerge w:val="continue"/>
            <w:shd w:val="clear" w:color="auto" w:fill="3C3C3C"/>
          </w:tcPr>
          <w:p>
            <w:pPr>
              <w:spacing w:after="0"/>
              <w:rPr>
                <w:sz w:val="9"/>
                <w:szCs w:val="9"/>
                <w:color w:val="auto"/>
              </w:rPr>
            </w:pPr>
          </w:p>
        </w:tc>
        <w:tc>
          <w:tcPr>
            <w:tcW w:w="1460" w:type="dxa"/>
            <w:vAlign w:val="bottom"/>
            <w:tcBorders>
              <w:right w:val="single" w:sz="8" w:color="3C3C3C"/>
            </w:tcBorders>
            <w:vMerge w:val="continue"/>
            <w:shd w:val="clear" w:color="auto" w:fill="3C3C3C"/>
          </w:tcPr>
          <w:p>
            <w:pPr>
              <w:spacing w:after="0"/>
              <w:rPr>
                <w:sz w:val="9"/>
                <w:szCs w:val="9"/>
                <w:color w:val="auto"/>
              </w:rPr>
            </w:pPr>
          </w:p>
        </w:tc>
        <w:tc>
          <w:tcPr>
            <w:tcW w:w="1320" w:type="dxa"/>
            <w:vAlign w:val="bottom"/>
            <w:vMerge w:val="continue"/>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5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w:t>
            </w:r>
          </w:p>
        </w:tc>
        <w:tc>
          <w:tcPr>
            <w:tcW w:w="1440" w:type="dxa"/>
            <w:vAlign w:val="bottom"/>
            <w:tcBorders>
              <w:right w:val="single" w:sz="8" w:color="7D7D7D"/>
            </w:tcBorders>
            <w:vMerge w:val="restart"/>
            <w:shd w:val="clear" w:color="auto" w:fill="FAF6EF"/>
          </w:tcPr>
          <w:p>
            <w:pPr>
              <w:jc w:val="center"/>
              <w:ind w:right="66"/>
              <w:spacing w:after="0"/>
              <w:rPr>
                <w:sz w:val="20"/>
                <w:szCs w:val="20"/>
                <w:color w:val="auto"/>
              </w:rPr>
            </w:pPr>
            <w:r>
              <w:rPr>
                <w:rFonts w:ascii="Arial" w:cs="Arial" w:eastAsia="Arial" w:hAnsi="Arial"/>
                <w:sz w:val="16"/>
                <w:szCs w:val="16"/>
                <w:color w:val="auto"/>
                <w:w w:val="98"/>
              </w:rPr>
              <w:t>12 months</w:t>
            </w:r>
          </w:p>
        </w:tc>
        <w:tc>
          <w:tcPr>
            <w:tcW w:w="1540" w:type="dxa"/>
            <w:vAlign w:val="bottom"/>
            <w:tcBorders>
              <w:right w:val="single" w:sz="8" w:color="7D7D7D"/>
            </w:tcBorders>
            <w:vMerge w:val="restart"/>
            <w:shd w:val="clear" w:color="auto" w:fill="FAF6EF"/>
          </w:tcPr>
          <w:p>
            <w:pPr>
              <w:jc w:val="center"/>
              <w:ind w:right="145"/>
              <w:spacing w:after="0"/>
              <w:rPr>
                <w:sz w:val="20"/>
                <w:szCs w:val="20"/>
                <w:color w:val="auto"/>
              </w:rPr>
            </w:pPr>
            <w:r>
              <w:rPr>
                <w:rFonts w:ascii="Arial" w:cs="Arial" w:eastAsia="Arial" w:hAnsi="Arial"/>
                <w:sz w:val="16"/>
                <w:szCs w:val="16"/>
                <w:color w:val="auto"/>
                <w:w w:val="96"/>
              </w:rPr>
              <w:t>12 months</w:t>
            </w:r>
          </w:p>
        </w:tc>
        <w:tc>
          <w:tcPr>
            <w:tcW w:w="1400" w:type="dxa"/>
            <w:vAlign w:val="bottom"/>
            <w:tcBorders>
              <w:right w:val="single" w:sz="8" w:color="7D7D7D"/>
            </w:tcBorders>
            <w:vMerge w:val="restart"/>
            <w:shd w:val="clear" w:color="auto" w:fill="FAF6EF"/>
          </w:tcPr>
          <w:p>
            <w:pPr>
              <w:jc w:val="center"/>
              <w:ind w:right="46"/>
              <w:spacing w:after="0"/>
              <w:rPr>
                <w:sz w:val="20"/>
                <w:szCs w:val="20"/>
                <w:color w:val="auto"/>
              </w:rPr>
            </w:pPr>
            <w:r>
              <w:rPr>
                <w:rFonts w:ascii="Arial" w:cs="Arial" w:eastAsia="Arial" w:hAnsi="Arial"/>
                <w:sz w:val="16"/>
                <w:szCs w:val="16"/>
                <w:color w:val="auto"/>
                <w:w w:val="96"/>
              </w:rPr>
              <w:t>12 months</w:t>
            </w:r>
          </w:p>
        </w:tc>
        <w:tc>
          <w:tcPr>
            <w:tcW w:w="1500" w:type="dxa"/>
            <w:vAlign w:val="bottom"/>
            <w:tcBorders>
              <w:right w:val="single" w:sz="8" w:color="7D7D7D"/>
            </w:tcBorders>
            <w:vMerge w:val="restart"/>
            <w:shd w:val="clear" w:color="auto" w:fill="FAF6EF"/>
          </w:tcPr>
          <w:p>
            <w:pPr>
              <w:jc w:val="center"/>
              <w:ind w:right="105"/>
              <w:spacing w:after="0"/>
              <w:rPr>
                <w:sz w:val="20"/>
                <w:szCs w:val="20"/>
                <w:color w:val="auto"/>
              </w:rPr>
            </w:pPr>
            <w:r>
              <w:rPr>
                <w:rFonts w:ascii="Arial" w:cs="Arial" w:eastAsia="Arial" w:hAnsi="Arial"/>
                <w:sz w:val="16"/>
                <w:szCs w:val="16"/>
                <w:color w:val="auto"/>
                <w:w w:val="96"/>
              </w:rPr>
              <w:t>12 months</w:t>
            </w:r>
          </w:p>
        </w:tc>
        <w:tc>
          <w:tcPr>
            <w:tcW w:w="1460" w:type="dxa"/>
            <w:vAlign w:val="bottom"/>
            <w:tcBorders>
              <w:right w:val="single" w:sz="8" w:color="7D7D7D"/>
            </w:tcBorders>
            <w:vMerge w:val="restart"/>
            <w:shd w:val="clear" w:color="auto" w:fill="FAF6EF"/>
          </w:tcPr>
          <w:p>
            <w:pPr>
              <w:jc w:val="center"/>
              <w:ind w:right="46"/>
              <w:spacing w:after="0"/>
              <w:rPr>
                <w:sz w:val="20"/>
                <w:szCs w:val="20"/>
                <w:color w:val="auto"/>
              </w:rPr>
            </w:pPr>
            <w:r>
              <w:rPr>
                <w:rFonts w:ascii="Arial" w:cs="Arial" w:eastAsia="Arial" w:hAnsi="Arial"/>
                <w:sz w:val="16"/>
                <w:szCs w:val="16"/>
                <w:color w:val="auto"/>
              </w:rPr>
              <w:t>25</w:t>
            </w:r>
          </w:p>
        </w:tc>
        <w:tc>
          <w:tcPr>
            <w:tcW w:w="132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7"/>
              </w:rPr>
              <w:t>100</w:t>
            </w:r>
          </w:p>
        </w:tc>
        <w:tc>
          <w:tcPr>
            <w:tcW w:w="20" w:type="dxa"/>
            <w:vAlign w:val="bottom"/>
            <w:shd w:val="clear" w:color="auto" w:fill="7D7D7D"/>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580" w:type="dxa"/>
            <w:vAlign w:val="bottom"/>
            <w:tcBorders>
              <w:left w:val="single" w:sz="8" w:color="7D7D7D"/>
              <w:right w:val="single" w:sz="8" w:color="7D7D7D"/>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Kothandaraman</w:t>
            </w:r>
          </w:p>
        </w:tc>
        <w:tc>
          <w:tcPr>
            <w:tcW w:w="1440" w:type="dxa"/>
            <w:vAlign w:val="bottom"/>
            <w:tcBorders>
              <w:right w:val="single" w:sz="8" w:color="7D7D7D"/>
            </w:tcBorders>
            <w:vMerge w:val="continue"/>
            <w:shd w:val="clear" w:color="auto" w:fill="FAF6EF"/>
          </w:tcPr>
          <w:p>
            <w:pPr>
              <w:spacing w:after="0"/>
              <w:rPr>
                <w:sz w:val="8"/>
                <w:szCs w:val="8"/>
                <w:color w:val="auto"/>
              </w:rPr>
            </w:pPr>
          </w:p>
        </w:tc>
        <w:tc>
          <w:tcPr>
            <w:tcW w:w="1540" w:type="dxa"/>
            <w:vAlign w:val="bottom"/>
            <w:tcBorders>
              <w:right w:val="single" w:sz="8" w:color="7D7D7D"/>
            </w:tcBorders>
            <w:vMerge w:val="continue"/>
            <w:shd w:val="clear" w:color="auto" w:fill="FAF6EF"/>
          </w:tcPr>
          <w:p>
            <w:pPr>
              <w:spacing w:after="0"/>
              <w:rPr>
                <w:sz w:val="8"/>
                <w:szCs w:val="8"/>
                <w:color w:val="auto"/>
              </w:rPr>
            </w:pPr>
          </w:p>
        </w:tc>
        <w:tc>
          <w:tcPr>
            <w:tcW w:w="1400" w:type="dxa"/>
            <w:vAlign w:val="bottom"/>
            <w:tcBorders>
              <w:right w:val="single" w:sz="8" w:color="7D7D7D"/>
            </w:tcBorders>
            <w:vMerge w:val="continue"/>
            <w:shd w:val="clear" w:color="auto" w:fill="FAF6EF"/>
          </w:tcPr>
          <w:p>
            <w:pPr>
              <w:spacing w:after="0"/>
              <w:rPr>
                <w:sz w:val="8"/>
                <w:szCs w:val="8"/>
                <w:color w:val="auto"/>
              </w:rPr>
            </w:pPr>
          </w:p>
        </w:tc>
        <w:tc>
          <w:tcPr>
            <w:tcW w:w="1500" w:type="dxa"/>
            <w:vAlign w:val="bottom"/>
            <w:tcBorders>
              <w:right w:val="single" w:sz="8" w:color="7D7D7D"/>
            </w:tcBorders>
            <w:vMerge w:val="continue"/>
            <w:shd w:val="clear" w:color="auto" w:fill="FAF6EF"/>
          </w:tcPr>
          <w:p>
            <w:pPr>
              <w:spacing w:after="0"/>
              <w:rPr>
                <w:sz w:val="8"/>
                <w:szCs w:val="8"/>
                <w:color w:val="auto"/>
              </w:rPr>
            </w:pPr>
          </w:p>
        </w:tc>
        <w:tc>
          <w:tcPr>
            <w:tcW w:w="1460" w:type="dxa"/>
            <w:vAlign w:val="bottom"/>
            <w:tcBorders>
              <w:right w:val="single" w:sz="8" w:color="7D7D7D"/>
            </w:tcBorders>
            <w:vMerge w:val="continue"/>
            <w:shd w:val="clear" w:color="auto" w:fill="FAF6EF"/>
          </w:tcPr>
          <w:p>
            <w:pPr>
              <w:spacing w:after="0"/>
              <w:rPr>
                <w:sz w:val="8"/>
                <w:szCs w:val="8"/>
                <w:color w:val="auto"/>
              </w:rPr>
            </w:pPr>
          </w:p>
        </w:tc>
        <w:tc>
          <w:tcPr>
            <w:tcW w:w="1320" w:type="dxa"/>
            <w:vAlign w:val="bottom"/>
            <w:vMerge w:val="continue"/>
            <w:shd w:val="clear" w:color="auto" w:fill="FAF6EF"/>
          </w:tcPr>
          <w:p>
            <w:pPr>
              <w:spacing w:after="0"/>
              <w:rPr>
                <w:sz w:val="8"/>
                <w:szCs w:val="8"/>
                <w:color w:val="auto"/>
              </w:rPr>
            </w:pPr>
          </w:p>
        </w:tc>
        <w:tc>
          <w:tcPr>
            <w:tcW w:w="20" w:type="dxa"/>
            <w:vAlign w:val="bottom"/>
            <w:shd w:val="clear" w:color="auto" w:fill="7D7D7D"/>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580" w:type="dxa"/>
            <w:vAlign w:val="bottom"/>
            <w:tcBorders>
              <w:left w:val="single" w:sz="8" w:color="7D7D7D"/>
              <w:right w:val="single" w:sz="8" w:color="7D7D7D"/>
            </w:tcBorders>
            <w:vMerge w:val="continue"/>
            <w:shd w:val="clear" w:color="auto" w:fill="FAF6EF"/>
          </w:tcPr>
          <w:p>
            <w:pPr>
              <w:spacing w:after="0"/>
              <w:rPr>
                <w:sz w:val="10"/>
                <w:szCs w:val="10"/>
                <w:color w:val="auto"/>
              </w:rPr>
            </w:pPr>
          </w:p>
        </w:tc>
        <w:tc>
          <w:tcPr>
            <w:tcW w:w="1440" w:type="dxa"/>
            <w:vAlign w:val="bottom"/>
            <w:tcBorders>
              <w:right w:val="single" w:sz="8" w:color="7D7D7D"/>
            </w:tcBorders>
            <w:shd w:val="clear" w:color="auto" w:fill="FAF6EF"/>
          </w:tcPr>
          <w:p>
            <w:pPr>
              <w:spacing w:after="0"/>
              <w:rPr>
                <w:sz w:val="10"/>
                <w:szCs w:val="10"/>
                <w:color w:val="auto"/>
              </w:rPr>
            </w:pPr>
          </w:p>
        </w:tc>
        <w:tc>
          <w:tcPr>
            <w:tcW w:w="1540" w:type="dxa"/>
            <w:vAlign w:val="bottom"/>
            <w:tcBorders>
              <w:right w:val="single" w:sz="8" w:color="7D7D7D"/>
            </w:tcBorders>
            <w:shd w:val="clear" w:color="auto" w:fill="FAF6EF"/>
          </w:tcPr>
          <w:p>
            <w:pPr>
              <w:spacing w:after="0"/>
              <w:rPr>
                <w:sz w:val="10"/>
                <w:szCs w:val="10"/>
                <w:color w:val="auto"/>
              </w:rPr>
            </w:pPr>
          </w:p>
        </w:tc>
        <w:tc>
          <w:tcPr>
            <w:tcW w:w="1400" w:type="dxa"/>
            <w:vAlign w:val="bottom"/>
            <w:tcBorders>
              <w:right w:val="single" w:sz="8" w:color="7D7D7D"/>
            </w:tcBorders>
            <w:shd w:val="clear" w:color="auto" w:fill="FAF6EF"/>
          </w:tcPr>
          <w:p>
            <w:pPr>
              <w:spacing w:after="0"/>
              <w:rPr>
                <w:sz w:val="10"/>
                <w:szCs w:val="10"/>
                <w:color w:val="auto"/>
              </w:rPr>
            </w:pPr>
          </w:p>
        </w:tc>
        <w:tc>
          <w:tcPr>
            <w:tcW w:w="1500" w:type="dxa"/>
            <w:vAlign w:val="bottom"/>
            <w:tcBorders>
              <w:right w:val="single" w:sz="8" w:color="7D7D7D"/>
            </w:tcBorders>
            <w:shd w:val="clear" w:color="auto" w:fill="FAF6EF"/>
          </w:tcPr>
          <w:p>
            <w:pPr>
              <w:spacing w:after="0"/>
              <w:rPr>
                <w:sz w:val="10"/>
                <w:szCs w:val="10"/>
                <w:color w:val="auto"/>
              </w:rPr>
            </w:pPr>
          </w:p>
        </w:tc>
        <w:tc>
          <w:tcPr>
            <w:tcW w:w="1460" w:type="dxa"/>
            <w:vAlign w:val="bottom"/>
            <w:tcBorders>
              <w:right w:val="single" w:sz="8" w:color="7D7D7D"/>
            </w:tcBorders>
            <w:shd w:val="clear" w:color="auto" w:fill="FAF6EF"/>
          </w:tcPr>
          <w:p>
            <w:pPr>
              <w:spacing w:after="0"/>
              <w:rPr>
                <w:sz w:val="10"/>
                <w:szCs w:val="10"/>
                <w:color w:val="auto"/>
              </w:rPr>
            </w:pPr>
          </w:p>
        </w:tc>
        <w:tc>
          <w:tcPr>
            <w:tcW w:w="1320" w:type="dxa"/>
            <w:vAlign w:val="bottom"/>
            <w:shd w:val="clear" w:color="auto" w:fill="FAF6EF"/>
          </w:tcPr>
          <w:p>
            <w:pPr>
              <w:spacing w:after="0"/>
              <w:rPr>
                <w:sz w:val="10"/>
                <w:szCs w:val="10"/>
                <w:color w:val="auto"/>
              </w:rPr>
            </w:pPr>
          </w:p>
        </w:tc>
        <w:tc>
          <w:tcPr>
            <w:tcW w:w="20" w:type="dxa"/>
            <w:vAlign w:val="bottom"/>
            <w:shd w:val="clear" w:color="auto" w:fill="7D7D7D"/>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580" w:type="dxa"/>
            <w:vAlign w:val="bottom"/>
            <w:tcBorders>
              <w:left w:val="single" w:sz="8" w:color="7D7D7D"/>
              <w:right w:val="single" w:sz="8" w:color="7D7D7D"/>
            </w:tcBorders>
          </w:tcPr>
          <w:p>
            <w:pPr>
              <w:ind w:left="120"/>
              <w:spacing w:after="0"/>
              <w:rPr>
                <w:sz w:val="20"/>
                <w:szCs w:val="20"/>
                <w:color w:val="auto"/>
              </w:rPr>
            </w:pPr>
            <w:r>
              <w:rPr>
                <w:rFonts w:ascii="Arial" w:cs="Arial" w:eastAsia="Arial" w:hAnsi="Arial"/>
                <w:sz w:val="16"/>
                <w:szCs w:val="16"/>
                <w:b w:val="1"/>
                <w:bCs w:val="1"/>
                <w:color w:val="auto"/>
              </w:rPr>
              <w:t>Mandy Yang</w:t>
            </w:r>
          </w:p>
        </w:tc>
        <w:tc>
          <w:tcPr>
            <w:tcW w:w="1440" w:type="dxa"/>
            <w:vAlign w:val="bottom"/>
            <w:tcBorders>
              <w:right w:val="single" w:sz="8" w:color="7D7D7D"/>
            </w:tcBorders>
          </w:tcPr>
          <w:p>
            <w:pPr>
              <w:jc w:val="center"/>
              <w:ind w:right="66"/>
              <w:spacing w:after="0"/>
              <w:rPr>
                <w:sz w:val="20"/>
                <w:szCs w:val="20"/>
                <w:color w:val="auto"/>
              </w:rPr>
            </w:pPr>
            <w:r>
              <w:rPr>
                <w:rFonts w:ascii="Arial" w:cs="Arial" w:eastAsia="Arial" w:hAnsi="Arial"/>
                <w:sz w:val="16"/>
                <w:szCs w:val="16"/>
                <w:color w:val="auto"/>
              </w:rPr>
              <w:t>6 months</w:t>
            </w:r>
          </w:p>
        </w:tc>
        <w:tc>
          <w:tcPr>
            <w:tcW w:w="1540" w:type="dxa"/>
            <w:vAlign w:val="bottom"/>
            <w:tcBorders>
              <w:right w:val="single" w:sz="8" w:color="7D7D7D"/>
            </w:tcBorders>
          </w:tcPr>
          <w:p>
            <w:pPr>
              <w:jc w:val="center"/>
              <w:ind w:right="145"/>
              <w:spacing w:after="0"/>
              <w:rPr>
                <w:sz w:val="20"/>
                <w:szCs w:val="20"/>
                <w:color w:val="auto"/>
              </w:rPr>
            </w:pPr>
            <w:r>
              <w:rPr>
                <w:rFonts w:ascii="Arial" w:cs="Arial" w:eastAsia="Arial" w:hAnsi="Arial"/>
                <w:sz w:val="16"/>
                <w:szCs w:val="16"/>
                <w:color w:val="auto"/>
                <w:w w:val="97"/>
              </w:rPr>
              <w:t>9 months</w:t>
            </w:r>
          </w:p>
        </w:tc>
        <w:tc>
          <w:tcPr>
            <w:tcW w:w="1400" w:type="dxa"/>
            <w:vAlign w:val="bottom"/>
            <w:tcBorders>
              <w:right w:val="single" w:sz="8" w:color="7D7D7D"/>
            </w:tcBorders>
          </w:tcPr>
          <w:p>
            <w:pPr>
              <w:jc w:val="center"/>
              <w:ind w:right="46"/>
              <w:spacing w:after="0"/>
              <w:rPr>
                <w:sz w:val="20"/>
                <w:szCs w:val="20"/>
                <w:color w:val="auto"/>
              </w:rPr>
            </w:pPr>
            <w:r>
              <w:rPr>
                <w:rFonts w:ascii="Arial" w:cs="Arial" w:eastAsia="Arial" w:hAnsi="Arial"/>
                <w:sz w:val="16"/>
                <w:szCs w:val="16"/>
                <w:color w:val="auto"/>
                <w:w w:val="97"/>
              </w:rPr>
              <w:t>6 months</w:t>
            </w:r>
          </w:p>
        </w:tc>
        <w:tc>
          <w:tcPr>
            <w:tcW w:w="1500" w:type="dxa"/>
            <w:vAlign w:val="bottom"/>
            <w:tcBorders>
              <w:right w:val="single" w:sz="8" w:color="7D7D7D"/>
            </w:tcBorders>
          </w:tcPr>
          <w:p>
            <w:pPr>
              <w:jc w:val="center"/>
              <w:ind w:right="105"/>
              <w:spacing w:after="0"/>
              <w:rPr>
                <w:sz w:val="20"/>
                <w:szCs w:val="20"/>
                <w:color w:val="auto"/>
              </w:rPr>
            </w:pPr>
            <w:r>
              <w:rPr>
                <w:rFonts w:ascii="Arial" w:cs="Arial" w:eastAsia="Arial" w:hAnsi="Arial"/>
                <w:sz w:val="16"/>
                <w:szCs w:val="16"/>
                <w:color w:val="auto"/>
                <w:w w:val="97"/>
              </w:rPr>
              <w:t>9 months</w:t>
            </w:r>
          </w:p>
        </w:tc>
        <w:tc>
          <w:tcPr>
            <w:tcW w:w="1460" w:type="dxa"/>
            <w:vAlign w:val="bottom"/>
            <w:tcBorders>
              <w:right w:val="single" w:sz="8" w:color="7D7D7D"/>
            </w:tcBorders>
          </w:tcPr>
          <w:p>
            <w:pPr>
              <w:jc w:val="center"/>
              <w:ind w:right="66"/>
              <w:spacing w:after="0"/>
              <w:rPr>
                <w:sz w:val="20"/>
                <w:szCs w:val="20"/>
                <w:color w:val="auto"/>
              </w:rPr>
            </w:pPr>
            <w:r>
              <w:rPr>
                <w:rFonts w:ascii="Arial" w:cs="Arial" w:eastAsia="Arial" w:hAnsi="Arial"/>
                <w:sz w:val="16"/>
                <w:szCs w:val="16"/>
                <w:color w:val="auto"/>
                <w:w w:val="99"/>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58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1440" w:type="dxa"/>
            <w:vAlign w:val="bottom"/>
            <w:tcBorders>
              <w:right w:val="single" w:sz="8" w:color="7D7D7D"/>
            </w:tcBorders>
            <w:shd w:val="clear" w:color="auto" w:fill="FAF6EF"/>
          </w:tcPr>
          <w:p>
            <w:pPr>
              <w:jc w:val="center"/>
              <w:ind w:right="66"/>
              <w:spacing w:after="0"/>
              <w:rPr>
                <w:sz w:val="20"/>
                <w:szCs w:val="20"/>
                <w:color w:val="auto"/>
              </w:rPr>
            </w:pPr>
            <w:r>
              <w:rPr>
                <w:rFonts w:ascii="Arial" w:cs="Arial" w:eastAsia="Arial" w:hAnsi="Arial"/>
                <w:sz w:val="16"/>
                <w:szCs w:val="16"/>
                <w:color w:val="auto"/>
                <w:w w:val="98"/>
              </w:rPr>
              <w:t>12 months</w:t>
            </w:r>
          </w:p>
        </w:tc>
        <w:tc>
          <w:tcPr>
            <w:tcW w:w="1540" w:type="dxa"/>
            <w:vAlign w:val="bottom"/>
            <w:tcBorders>
              <w:right w:val="single" w:sz="8" w:color="7D7D7D"/>
            </w:tcBorders>
            <w:shd w:val="clear" w:color="auto" w:fill="FAF6EF"/>
          </w:tcPr>
          <w:p>
            <w:pPr>
              <w:jc w:val="center"/>
              <w:ind w:right="145"/>
              <w:spacing w:after="0"/>
              <w:rPr>
                <w:sz w:val="20"/>
                <w:szCs w:val="20"/>
                <w:color w:val="auto"/>
              </w:rPr>
            </w:pPr>
            <w:r>
              <w:rPr>
                <w:rFonts w:ascii="Arial" w:cs="Arial" w:eastAsia="Arial" w:hAnsi="Arial"/>
                <w:sz w:val="16"/>
                <w:szCs w:val="16"/>
                <w:color w:val="auto"/>
                <w:w w:val="96"/>
              </w:rPr>
              <w:t>12 months</w:t>
            </w:r>
          </w:p>
        </w:tc>
        <w:tc>
          <w:tcPr>
            <w:tcW w:w="1400" w:type="dxa"/>
            <w:vAlign w:val="bottom"/>
            <w:tcBorders>
              <w:right w:val="single" w:sz="8" w:color="7D7D7D"/>
            </w:tcBorders>
            <w:shd w:val="clear" w:color="auto" w:fill="FAF6EF"/>
          </w:tcPr>
          <w:p>
            <w:pPr>
              <w:jc w:val="center"/>
              <w:ind w:right="46"/>
              <w:spacing w:after="0"/>
              <w:rPr>
                <w:sz w:val="20"/>
                <w:szCs w:val="20"/>
                <w:color w:val="auto"/>
              </w:rPr>
            </w:pPr>
            <w:r>
              <w:rPr>
                <w:rFonts w:ascii="Arial" w:cs="Arial" w:eastAsia="Arial" w:hAnsi="Arial"/>
                <w:sz w:val="16"/>
                <w:szCs w:val="16"/>
                <w:color w:val="auto"/>
                <w:w w:val="96"/>
              </w:rPr>
              <w:t>12 months</w:t>
            </w:r>
          </w:p>
        </w:tc>
        <w:tc>
          <w:tcPr>
            <w:tcW w:w="1500" w:type="dxa"/>
            <w:vAlign w:val="bottom"/>
            <w:tcBorders>
              <w:right w:val="single" w:sz="8" w:color="7D7D7D"/>
            </w:tcBorders>
            <w:shd w:val="clear" w:color="auto" w:fill="FAF6EF"/>
          </w:tcPr>
          <w:p>
            <w:pPr>
              <w:jc w:val="center"/>
              <w:ind w:right="105"/>
              <w:spacing w:after="0"/>
              <w:rPr>
                <w:sz w:val="20"/>
                <w:szCs w:val="20"/>
                <w:color w:val="auto"/>
              </w:rPr>
            </w:pPr>
            <w:r>
              <w:rPr>
                <w:rFonts w:ascii="Arial" w:cs="Arial" w:eastAsia="Arial" w:hAnsi="Arial"/>
                <w:sz w:val="16"/>
                <w:szCs w:val="16"/>
                <w:color w:val="auto"/>
                <w:w w:val="96"/>
              </w:rPr>
              <w:t>12 months</w:t>
            </w:r>
          </w:p>
        </w:tc>
        <w:tc>
          <w:tcPr>
            <w:tcW w:w="1460" w:type="dxa"/>
            <w:vAlign w:val="bottom"/>
            <w:tcBorders>
              <w:right w:val="single" w:sz="8" w:color="7D7D7D"/>
            </w:tcBorders>
            <w:shd w:val="clear" w:color="auto" w:fill="FAF6EF"/>
          </w:tcPr>
          <w:p>
            <w:pPr>
              <w:jc w:val="center"/>
              <w:ind w:right="46"/>
              <w:spacing w:after="0"/>
              <w:rPr>
                <w:sz w:val="20"/>
                <w:szCs w:val="20"/>
                <w:color w:val="auto"/>
              </w:rPr>
            </w:pPr>
            <w:r>
              <w:rPr>
                <w:rFonts w:ascii="Arial" w:cs="Arial" w:eastAsia="Arial" w:hAnsi="Arial"/>
                <w:sz w:val="16"/>
                <w:szCs w:val="16"/>
                <w:color w:val="auto"/>
              </w:rPr>
              <w:t>25</w:t>
            </w:r>
          </w:p>
        </w:tc>
        <w:tc>
          <w:tcPr>
            <w:tcW w:w="132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7"/>
              </w:rPr>
              <w:t>100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ind w:left="220" w:hanging="215"/>
        <w:spacing w:after="0"/>
        <w:tabs>
          <w:tab w:leader="none" w:pos="220" w:val="left"/>
        </w:tabs>
        <w:numPr>
          <w:ilvl w:val="0"/>
          <w:numId w:val="73"/>
        </w:numPr>
        <w:rPr>
          <w:rFonts w:ascii="Arial" w:cs="Arial" w:eastAsia="Arial" w:hAnsi="Arial"/>
          <w:sz w:val="14"/>
          <w:szCs w:val="14"/>
          <w:color w:val="7D7D7D"/>
        </w:rPr>
      </w:pPr>
      <w:r>
        <w:rPr>
          <w:rFonts w:ascii="Arial" w:cs="Arial" w:eastAsia="Arial" w:hAnsi="Arial"/>
          <w:sz w:val="14"/>
          <w:szCs w:val="14"/>
          <w:color w:val="7D7D7D"/>
        </w:rPr>
        <w:t>Participants are also entitled to receive the Pro rata Target bonus.</w:t>
      </w:r>
    </w:p>
    <w:p>
      <w:pPr>
        <w:spacing w:after="0" w:line="61" w:lineRule="exact"/>
        <w:rPr>
          <w:sz w:val="20"/>
          <w:szCs w:val="20"/>
          <w:color w:val="auto"/>
        </w:rPr>
      </w:pPr>
    </w:p>
    <w:p>
      <w:pPr>
        <w:ind w:left="220" w:hanging="215"/>
        <w:spacing w:after="0"/>
        <w:tabs>
          <w:tab w:leader="none" w:pos="220" w:val="left"/>
        </w:tabs>
        <w:numPr>
          <w:ilvl w:val="0"/>
          <w:numId w:val="74"/>
        </w:numPr>
        <w:rPr>
          <w:rFonts w:ascii="Arial" w:cs="Arial" w:eastAsia="Arial" w:hAnsi="Arial"/>
          <w:sz w:val="14"/>
          <w:szCs w:val="14"/>
          <w:color w:val="7D7D7D"/>
        </w:rPr>
      </w:pPr>
      <w:r>
        <w:rPr>
          <w:rFonts w:ascii="Arial" w:cs="Arial" w:eastAsia="Arial" w:hAnsi="Arial"/>
          <w:sz w:val="14"/>
          <w:szCs w:val="14"/>
          <w:color w:val="7D7D7D"/>
        </w:rPr>
        <w:t>Participants also will have an extended period of time to exercise outstanding equity awards, as described in the fourth bullet above.</w:t>
      </w:r>
    </w:p>
    <w:p>
      <w:pPr>
        <w:spacing w:after="0" w:line="281"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In addition, unless otherwise provided in an agreement between a participant and us, if any payments or benefits that a participant would receive in connection with a change in control of us would constitute a “parachute payment” within the meaning of Section 280G of the Code, and such payments would be subject to the excise tax imposed by Section 4999 of the Code, then such payments will either be (1) provided to the participant in full or (2) reduced to such lesser amount that would result in no portion of such payments being subject to the excise tax, whichever amount after taking into account all taxes, including the excise tax, would result in the participant’s receipt, on an after-tax basis, of the greatest amount of such payments.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Severance Plan, the following definitions apply:</w:t>
      </w:r>
    </w:p>
    <w:p>
      <w:pPr>
        <w:spacing w:after="0" w:line="18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i w:val="1"/>
          <w:iCs w:val="1"/>
          <w:color w:val="auto"/>
        </w:rPr>
        <w:t xml:space="preserve">“Cause,” </w:t>
      </w:r>
      <w:r>
        <w:rPr>
          <w:rFonts w:ascii="Arial" w:cs="Arial" w:eastAsia="Arial" w:hAnsi="Arial"/>
          <w:sz w:val="15"/>
          <w:szCs w:val="15"/>
          <w:color w:val="auto"/>
        </w:rPr>
        <w:t>as determined by the Board acting in good faith and based on information then known to it, means the participant’s: (i) refusal or failure to perform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participant’s material, lawful and appropriate duties; (ii) material violation of Company policy or any written agreement between the Company and the participant;</w:t>
      </w:r>
    </w:p>
    <w:p>
      <w:pPr>
        <w:jc w:val="both"/>
        <w:ind w:right="20" w:firstLine="5"/>
        <w:spacing w:after="0" w:line="289" w:lineRule="auto"/>
        <w:tabs>
          <w:tab w:leader="none" w:pos="268"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repeated unexplained or unjustified absence from the Company; (iv) intentional or negligent misconduct; (v) conviction of, or the entering of a plea of nolo contendere with respect to, any felony or a crime involving moral turpitude; (vi) unauthorized use or disclosure of any proprietary information or trade secrets of</w:t>
      </w:r>
    </w:p>
    <w:p>
      <w:pPr>
        <w:spacing w:after="0" w:line="1" w:lineRule="exact"/>
        <w:rPr>
          <w:rFonts w:ascii="Arial" w:cs="Arial" w:eastAsia="Arial" w:hAnsi="Arial"/>
          <w:sz w:val="16"/>
          <w:szCs w:val="16"/>
          <w:color w:val="auto"/>
        </w:rPr>
      </w:pPr>
    </w:p>
    <w:p>
      <w:pPr>
        <w:jc w:val="both"/>
        <w:ind w:right="20"/>
        <w:spacing w:after="0" w:line="293" w:lineRule="auto"/>
        <w:rPr>
          <w:rFonts w:ascii="Arial" w:cs="Arial" w:eastAsia="Arial" w:hAnsi="Arial"/>
          <w:sz w:val="16"/>
          <w:szCs w:val="16"/>
          <w:color w:val="auto"/>
        </w:rPr>
      </w:pPr>
      <w:r>
        <w:rPr>
          <w:rFonts w:ascii="Arial" w:cs="Arial" w:eastAsia="Arial" w:hAnsi="Arial"/>
          <w:sz w:val="16"/>
          <w:szCs w:val="16"/>
          <w:color w:val="auto"/>
        </w:rPr>
        <w:t>the Company or any other party to whom the participant owes an obligation of non-disclosure as a result of the participant’s relationship with the Company; (vii) commitment of any act of fraud, embezzlement, misappropriation, dishonesty or breach of fiduciary duty against the Company that causes, or is likely to cause, material harm to the Company or its subsidiaries or is intended to result in substantial personal enrichment; or (viii) failure to cooperate with the Company in any investigation or formal proceeding, including any government investigation.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means the occurrence of any of the following events:</w:t>
      </w:r>
    </w:p>
    <w:p>
      <w:pPr>
        <w:spacing w:after="0" w:line="195" w:lineRule="exact"/>
        <w:rPr>
          <w:sz w:val="20"/>
          <w:szCs w:val="20"/>
          <w:color w:val="auto"/>
        </w:rPr>
      </w:pPr>
    </w:p>
    <w:p>
      <w:pPr>
        <w:ind w:left="320" w:right="40" w:hanging="159"/>
        <w:spacing w:after="0" w:line="301" w:lineRule="auto"/>
        <w:tabs>
          <w:tab w:leader="none" w:pos="297" w:val="left"/>
        </w:tabs>
        <w:numPr>
          <w:ilvl w:val="0"/>
          <w:numId w:val="76"/>
        </w:numPr>
        <w:rPr>
          <w:rFonts w:ascii="Arial" w:cs="Arial" w:eastAsia="Arial" w:hAnsi="Arial"/>
          <w:sz w:val="12"/>
          <w:szCs w:val="12"/>
          <w:color w:val="auto"/>
        </w:rPr>
      </w:pPr>
      <w:r>
        <w:rPr>
          <w:rFonts w:ascii="Arial" w:cs="Arial" w:eastAsia="Arial" w:hAnsi="Arial"/>
          <w:sz w:val="16"/>
          <w:szCs w:val="16"/>
          <w:color w:val="auto"/>
        </w:rPr>
        <w:t>any sale or exchange of the capital stock by the shareholders of the Company in one transaction or series of related transactions where more than 50% of the outstanding voting power of the Company is acquired by a person or entity or group of related persons or entities; or</w:t>
      </w:r>
    </w:p>
    <w:p>
      <w:pPr>
        <w:spacing w:after="0" w:line="22" w:lineRule="exact"/>
        <w:rPr>
          <w:rFonts w:ascii="Arial" w:cs="Arial" w:eastAsia="Arial" w:hAnsi="Arial"/>
          <w:sz w:val="12"/>
          <w:szCs w:val="12"/>
          <w:color w:val="auto"/>
        </w:rPr>
      </w:pPr>
    </w:p>
    <w:p>
      <w:pPr>
        <w:ind w:left="320" w:right="460" w:hanging="159"/>
        <w:spacing w:after="0" w:line="318" w:lineRule="auto"/>
        <w:tabs>
          <w:tab w:leader="none" w:pos="297" w:val="left"/>
        </w:tabs>
        <w:numPr>
          <w:ilvl w:val="0"/>
          <w:numId w:val="76"/>
        </w:numPr>
        <w:rPr>
          <w:rFonts w:ascii="Arial" w:cs="Arial" w:eastAsia="Arial" w:hAnsi="Arial"/>
          <w:sz w:val="12"/>
          <w:szCs w:val="12"/>
          <w:color w:val="auto"/>
        </w:rPr>
      </w:pPr>
      <w:r>
        <w:rPr>
          <w:rFonts w:ascii="Arial" w:cs="Arial" w:eastAsia="Arial" w:hAnsi="Arial"/>
          <w:sz w:val="16"/>
          <w:szCs w:val="16"/>
          <w:color w:val="auto"/>
        </w:rPr>
        <w:t>any reorganization, consolidation or merger of the Company where the outstanding voting securities of the Company immediately before the transaction represent or are converted into less than 50% of the outstanding voting power of the</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68" w:right="319" w:bottom="1440" w:gutter="0" w:footer="0" w:header="0"/>
        </w:sectPr>
      </w:pPr>
    </w:p>
    <w:bookmarkStart w:id="61" w:name="page62"/>
    <w:bookmarkEnd w:id="61"/>
    <w:p>
      <w:pPr>
        <w:ind w:left="320"/>
        <w:spacing w:after="0"/>
        <w:rPr>
          <w:sz w:val="20"/>
          <w:szCs w:val="20"/>
          <w:color w:val="auto"/>
        </w:rPr>
      </w:pPr>
      <w:r>
        <w:rPr>
          <w:rFonts w:ascii="Arial" w:cs="Arial" w:eastAsia="Arial" w:hAnsi="Arial"/>
          <w:sz w:val="16"/>
          <w:szCs w:val="16"/>
          <w:color w:val="auto"/>
        </w:rPr>
        <w:t>surviving entity (or its parent corporation) immediately after the transaction; or</w:t>
      </w:r>
    </w:p>
    <w:p>
      <w:pPr>
        <w:spacing w:after="0" w:line="90" w:lineRule="exact"/>
        <w:rPr>
          <w:sz w:val="20"/>
          <w:szCs w:val="20"/>
          <w:color w:val="auto"/>
        </w:rPr>
      </w:pPr>
    </w:p>
    <w:p>
      <w:pPr>
        <w:ind w:left="300" w:hanging="139"/>
        <w:spacing w:after="0"/>
        <w:tabs>
          <w:tab w:leader="none" w:pos="300" w:val="left"/>
        </w:tabs>
        <w:numPr>
          <w:ilvl w:val="0"/>
          <w:numId w:val="77"/>
        </w:numPr>
        <w:rPr>
          <w:rFonts w:ascii="Arial" w:cs="Arial" w:eastAsia="Arial" w:hAnsi="Arial"/>
          <w:sz w:val="12"/>
          <w:szCs w:val="12"/>
          <w:color w:val="auto"/>
        </w:rPr>
      </w:pPr>
      <w:r>
        <w:rPr>
          <w:rFonts w:ascii="Arial" w:cs="Arial" w:eastAsia="Arial" w:hAnsi="Arial"/>
          <w:sz w:val="16"/>
          <w:szCs w:val="16"/>
          <w:color w:val="auto"/>
        </w:rPr>
        <w:t>the consummation of any transaction or series of related transactions that results in the sale of all or substantially all of the assets of the Company; or</w:t>
      </w:r>
    </w:p>
    <w:p>
      <w:pPr>
        <w:spacing w:after="0" w:line="90" w:lineRule="exact"/>
        <w:rPr>
          <w:rFonts w:ascii="Arial" w:cs="Arial" w:eastAsia="Arial" w:hAnsi="Arial"/>
          <w:sz w:val="12"/>
          <w:szCs w:val="12"/>
          <w:color w:val="auto"/>
        </w:rPr>
      </w:pPr>
    </w:p>
    <w:p>
      <w:pPr>
        <w:ind w:left="320" w:right="420" w:hanging="159"/>
        <w:spacing w:after="0" w:line="301" w:lineRule="auto"/>
        <w:tabs>
          <w:tab w:leader="none" w:pos="297" w:val="left"/>
        </w:tabs>
        <w:numPr>
          <w:ilvl w:val="0"/>
          <w:numId w:val="77"/>
        </w:numPr>
        <w:rPr>
          <w:rFonts w:ascii="Arial" w:cs="Arial" w:eastAsia="Arial" w:hAnsi="Arial"/>
          <w:sz w:val="12"/>
          <w:szCs w:val="12"/>
          <w:color w:val="auto"/>
        </w:rPr>
      </w:pPr>
      <w:r>
        <w:rPr>
          <w:rFonts w:ascii="Arial" w:cs="Arial" w:eastAsia="Arial" w:hAnsi="Arial"/>
          <w:sz w:val="16"/>
          <w:szCs w:val="16"/>
          <w:color w:val="auto"/>
        </w:rPr>
        <w:t>any “person” or “group” (as defined in the Exchange Act) becoming the “beneficial owner” (as defined in Rule 13d-3 under the Exchange Act), directly or indirectly, of securities representing more than 50% of the voting power of the Company then outstanding.</w:t>
      </w:r>
    </w:p>
    <w:p>
      <w:pPr>
        <w:spacing w:after="0" w:line="127"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The term Change in Control will not include a sale of assets, merger or other transaction effected exclusively for the purpose of changing the domicile of the Company.</w:t>
      </w:r>
    </w:p>
    <w:p>
      <w:pPr>
        <w:spacing w:after="0" w:line="1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means, without the participant’s written consent: (i) a material reduction or material adverse change in job duties, responsibilities or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inconsistent with the participant’s position with the Company; provided, however, that any such reduction or change after a Change in Control (or similar corporate transaction that does not constitute a Change in Control) shall not constitute Good Reason by virtue of the fact that the participant is performing similar duties and responsibilities in a larger organization; (ii) a material reduction of the participant’s then current base salary, representing a reduction of more than 10% of the participant’s then current base salary; provided, that an across-the-board reduction in the salary level of all executive officers of the Company by the same percentage amount as part of a general salary level reduction shall not constitute such a material salary reduction; (iii) a material reduction of the participant’s target bonus opportunity; provided, that an across-the-board reduction in the target bonus opportunities of all executive officers of the Company shall not constitute such a material reduction in target bonus opportunity; (iv) the relocation of the principal place for performance of the participant’s duties to the Company to a location more than 50 miles from the Company’s then current location, which relocation is adverse to the participant, except for required travel on the Company’s business; (v) any material breach by the Company of the Severance Plan or any other written agreement between the Company and the participant; or (vi) the failure by any successor to the Company to assume the Severance Plan and any obligations under the Severance Plan; provided, that the participant gives written notice to the Company of the event forming the basis of the termination for Good Reason within 60 days after the date on which the Company gives written notice to the participant of the Company’s affirmative decision to take an action set forth in clause (i), (ii), (iii), (iv) or (v) above, the Company fails to cure such basis for the Good Reason resignation within 30 days after receipt of the participant’s written notice and the participant terminates his or her employment within 30 days following the expiration of the cure period.</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Calculation of Potential Payments upon Termination or Change in Control</w:t>
      </w:r>
    </w:p>
    <w:p>
      <w:pPr>
        <w:spacing w:after="0" w:line="12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presents our estimate of the benefits payable to the named executive officers under the agreements and plans described above in connection with certain terminations of their employment with us and/or a change in control. In calculating the amount of any potential payments to the NEOs, we have assumed the following:</w:t>
      </w:r>
    </w:p>
    <w:p>
      <w:pPr>
        <w:spacing w:after="0" w:line="111" w:lineRule="exact"/>
        <w:rPr>
          <w:sz w:val="20"/>
          <w:szCs w:val="20"/>
          <w:color w:val="auto"/>
        </w:rPr>
      </w:pPr>
    </w:p>
    <w:p>
      <w:pPr>
        <w:ind w:left="320" w:right="540" w:hanging="159"/>
        <w:spacing w:after="0" w:line="318" w:lineRule="auto"/>
        <w:tabs>
          <w:tab w:leader="none" w:pos="297" w:val="left"/>
        </w:tabs>
        <w:numPr>
          <w:ilvl w:val="0"/>
          <w:numId w:val="78"/>
        </w:numPr>
        <w:rPr>
          <w:rFonts w:ascii="Arial" w:cs="Arial" w:eastAsia="Arial" w:hAnsi="Arial"/>
          <w:sz w:val="12"/>
          <w:szCs w:val="12"/>
          <w:color w:val="auto"/>
        </w:rPr>
      </w:pPr>
      <w:r>
        <w:rPr>
          <w:rFonts w:ascii="Arial" w:cs="Arial" w:eastAsia="Arial" w:hAnsi="Arial"/>
          <w:sz w:val="16"/>
          <w:szCs w:val="16"/>
          <w:color w:val="auto"/>
        </w:rPr>
        <w:t>The applicable triggering event (i.e., qualifying termination of employment and/or change in control) occurred on December 31, 2023. Mr. McNeil is not included in the table below as he was not eligible for any potential payments upon a termination or change in control occurring as of that date.</w:t>
      </w:r>
    </w:p>
    <w:p>
      <w:pPr>
        <w:spacing w:after="0" w:line="9" w:lineRule="exact"/>
        <w:rPr>
          <w:rFonts w:ascii="Arial" w:cs="Arial" w:eastAsia="Arial" w:hAnsi="Arial"/>
          <w:sz w:val="12"/>
          <w:szCs w:val="12"/>
          <w:color w:val="auto"/>
        </w:rPr>
      </w:pPr>
    </w:p>
    <w:p>
      <w:pPr>
        <w:ind w:left="320" w:right="120" w:hanging="159"/>
        <w:spacing w:after="0" w:line="318" w:lineRule="auto"/>
        <w:tabs>
          <w:tab w:leader="none" w:pos="297" w:val="left"/>
        </w:tabs>
        <w:numPr>
          <w:ilvl w:val="0"/>
          <w:numId w:val="78"/>
        </w:numPr>
        <w:rPr>
          <w:rFonts w:ascii="Arial" w:cs="Arial" w:eastAsia="Arial" w:hAnsi="Arial"/>
          <w:sz w:val="12"/>
          <w:szCs w:val="12"/>
          <w:color w:val="auto"/>
        </w:rPr>
      </w:pPr>
      <w:r>
        <w:rPr>
          <w:rFonts w:ascii="Arial" w:cs="Arial" w:eastAsia="Arial" w:hAnsi="Arial"/>
          <w:sz w:val="16"/>
          <w:szCs w:val="16"/>
          <w:color w:val="auto"/>
        </w:rPr>
        <w:t>The price per share of our common stock is equal to the Nasdaq Stock Market closing price per share of $132.14 on December 29, 2023, which was the last trading day in 2023.</w:t>
      </w:r>
    </w:p>
    <w:p>
      <w:pPr>
        <w:spacing w:after="0" w:line="9" w:lineRule="exact"/>
        <w:rPr>
          <w:rFonts w:ascii="Arial" w:cs="Arial" w:eastAsia="Arial" w:hAnsi="Arial"/>
          <w:sz w:val="12"/>
          <w:szCs w:val="12"/>
          <w:color w:val="auto"/>
        </w:rPr>
      </w:pPr>
    </w:p>
    <w:p>
      <w:pPr>
        <w:ind w:left="320" w:right="60" w:hanging="159"/>
        <w:spacing w:after="0" w:line="301" w:lineRule="auto"/>
        <w:tabs>
          <w:tab w:leader="none" w:pos="297" w:val="left"/>
        </w:tabs>
        <w:numPr>
          <w:ilvl w:val="0"/>
          <w:numId w:val="78"/>
        </w:numPr>
        <w:rPr>
          <w:rFonts w:ascii="Arial" w:cs="Arial" w:eastAsia="Arial" w:hAnsi="Arial"/>
          <w:sz w:val="12"/>
          <w:szCs w:val="12"/>
          <w:color w:val="auto"/>
        </w:rPr>
      </w:pPr>
      <w:r>
        <w:rPr>
          <w:rFonts w:ascii="Arial" w:cs="Arial" w:eastAsia="Arial" w:hAnsi="Arial"/>
          <w:sz w:val="16"/>
          <w:szCs w:val="16"/>
          <w:color w:val="auto"/>
        </w:rPr>
        <w:t>We do not survive the change in control, and all outstanding incentive awards (and corresponding outstanding dividend equivalents for time-based RSUs and PSUs) are cashed out and terminated in the transaction.</w:t>
      </w:r>
    </w:p>
    <w:p>
      <w:pPr>
        <w:spacing w:after="0" w:line="22" w:lineRule="exact"/>
        <w:rPr>
          <w:rFonts w:ascii="Arial" w:cs="Arial" w:eastAsia="Arial" w:hAnsi="Arial"/>
          <w:sz w:val="12"/>
          <w:szCs w:val="12"/>
          <w:color w:val="auto"/>
        </w:rPr>
      </w:pPr>
    </w:p>
    <w:p>
      <w:pPr>
        <w:ind w:left="320" w:right="300" w:hanging="159"/>
        <w:spacing w:after="0" w:line="318" w:lineRule="auto"/>
        <w:tabs>
          <w:tab w:leader="none" w:pos="297" w:val="left"/>
        </w:tabs>
        <w:numPr>
          <w:ilvl w:val="0"/>
          <w:numId w:val="78"/>
        </w:numPr>
        <w:rPr>
          <w:rFonts w:ascii="Arial" w:cs="Arial" w:eastAsia="Arial" w:hAnsi="Arial"/>
          <w:sz w:val="12"/>
          <w:szCs w:val="12"/>
          <w:color w:val="auto"/>
        </w:rPr>
      </w:pPr>
      <w:r>
        <w:rPr>
          <w:rFonts w:ascii="Arial" w:cs="Arial" w:eastAsia="Arial" w:hAnsi="Arial"/>
          <w:sz w:val="16"/>
          <w:szCs w:val="16"/>
          <w:color w:val="auto"/>
        </w:rPr>
        <w:t>Not included in the table below are payments each NEO earned or accrued prior to termination, such as previously vested equity and non-equity incentive awards, which are more fully described and quantified in the tables and narratives above.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174"/>
        </w:trPr>
        <w:tc>
          <w:tcPr>
            <w:tcW w:w="2860" w:type="dxa"/>
            <w:vAlign w:val="bottom"/>
            <w:tcBorders>
              <w:left w:val="single" w:sz="8" w:color="3C3C3C"/>
            </w:tcBorders>
            <w:shd w:val="clear" w:color="auto" w:fill="3C3C3C"/>
          </w:tcPr>
          <w:p>
            <w:pPr>
              <w:spacing w:after="0"/>
              <w:rPr>
                <w:sz w:val="15"/>
                <w:szCs w:val="15"/>
                <w:color w:val="auto"/>
              </w:rPr>
            </w:pPr>
          </w:p>
        </w:tc>
        <w:tc>
          <w:tcPr>
            <w:tcW w:w="140" w:type="dxa"/>
            <w:vAlign w:val="bottom"/>
            <w:tcBorders>
              <w:right w:val="single" w:sz="8" w:color="3C3C3C"/>
            </w:tcBorders>
            <w:shd w:val="clear" w:color="auto" w:fill="3C3C3C"/>
          </w:tcPr>
          <w:p>
            <w:pPr>
              <w:spacing w:after="0"/>
              <w:rPr>
                <w:sz w:val="15"/>
                <w:szCs w:val="15"/>
                <w:color w:val="auto"/>
              </w:rPr>
            </w:pPr>
          </w:p>
        </w:tc>
        <w:tc>
          <w:tcPr>
            <w:tcW w:w="4000" w:type="dxa"/>
            <w:vAlign w:val="bottom"/>
            <w:shd w:val="clear" w:color="auto" w:fill="3C3C3C"/>
          </w:tcPr>
          <w:p>
            <w:pPr>
              <w:spacing w:after="0"/>
              <w:rPr>
                <w:sz w:val="15"/>
                <w:szCs w:val="15"/>
                <w:color w:val="auto"/>
              </w:rPr>
            </w:pPr>
          </w:p>
        </w:tc>
        <w:tc>
          <w:tcPr>
            <w:tcW w:w="120" w:type="dxa"/>
            <w:vAlign w:val="bottom"/>
            <w:tcBorders>
              <w:right w:val="single" w:sz="8" w:color="3C3C3C"/>
            </w:tcBorders>
            <w:shd w:val="clear" w:color="auto" w:fill="3C3C3C"/>
          </w:tcPr>
          <w:p>
            <w:pPr>
              <w:spacing w:after="0"/>
              <w:rPr>
                <w:sz w:val="15"/>
                <w:szCs w:val="15"/>
                <w:color w:val="auto"/>
              </w:rPr>
            </w:pPr>
          </w:p>
        </w:tc>
        <w:tc>
          <w:tcPr>
            <w:tcW w:w="2020" w:type="dxa"/>
            <w:vAlign w:val="bottom"/>
            <w:tcBorders>
              <w:right w:val="single" w:sz="8" w:color="3C3C3C"/>
            </w:tcBorders>
            <w:shd w:val="clear" w:color="auto" w:fill="3C3C3C"/>
          </w:tcPr>
          <w:p>
            <w:pPr>
              <w:jc w:val="center"/>
              <w:ind w:right="63"/>
              <w:spacing w:after="0"/>
              <w:rPr>
                <w:sz w:val="20"/>
                <w:szCs w:val="20"/>
                <w:color w:val="auto"/>
              </w:rPr>
            </w:pPr>
            <w:r>
              <w:rPr>
                <w:rFonts w:ascii="Arial" w:cs="Arial" w:eastAsia="Arial" w:hAnsi="Arial"/>
                <w:sz w:val="14"/>
                <w:szCs w:val="14"/>
                <w:b w:val="1"/>
                <w:bCs w:val="1"/>
                <w:color w:val="FFFFFF"/>
                <w:w w:val="99"/>
              </w:rPr>
              <w:t>Change in Control-With</w:t>
            </w:r>
          </w:p>
        </w:tc>
        <w:tc>
          <w:tcPr>
            <w:tcW w:w="210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Involuntary Termination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60" w:type="dxa"/>
            <w:vAlign w:val="bottom"/>
            <w:tcBorders>
              <w:lef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Named Executive Officer</w:t>
            </w:r>
          </w:p>
        </w:tc>
        <w:tc>
          <w:tcPr>
            <w:tcW w:w="140" w:type="dxa"/>
            <w:vAlign w:val="bottom"/>
            <w:tcBorders>
              <w:right w:val="single" w:sz="8" w:color="3C3C3C"/>
            </w:tcBorders>
            <w:shd w:val="clear" w:color="auto" w:fill="3C3C3C"/>
          </w:tcPr>
          <w:p>
            <w:pPr>
              <w:spacing w:after="0"/>
              <w:rPr>
                <w:sz w:val="14"/>
                <w:szCs w:val="14"/>
                <w:color w:val="auto"/>
              </w:rPr>
            </w:pPr>
          </w:p>
        </w:tc>
        <w:tc>
          <w:tcPr>
            <w:tcW w:w="4000" w:type="dxa"/>
            <w:vAlign w:val="bottom"/>
            <w:vMerge w:val="restart"/>
            <w:shd w:val="clear" w:color="auto" w:fill="3C3C3C"/>
          </w:tcPr>
          <w:p>
            <w:pPr>
              <w:ind w:left="100"/>
              <w:spacing w:after="0"/>
              <w:rPr>
                <w:sz w:val="20"/>
                <w:szCs w:val="20"/>
                <w:color w:val="auto"/>
              </w:rPr>
            </w:pPr>
            <w:r>
              <w:rPr>
                <w:rFonts w:ascii="Arial" w:cs="Arial" w:eastAsia="Arial" w:hAnsi="Arial"/>
                <w:sz w:val="14"/>
                <w:szCs w:val="14"/>
                <w:b w:val="1"/>
                <w:bCs w:val="1"/>
                <w:color w:val="FFFFFF"/>
              </w:rPr>
              <w:t>Compensation Element</w:t>
            </w:r>
          </w:p>
        </w:tc>
        <w:tc>
          <w:tcPr>
            <w:tcW w:w="120" w:type="dxa"/>
            <w:vAlign w:val="bottom"/>
            <w:tcBorders>
              <w:right w:val="single" w:sz="8" w:color="3C3C3C"/>
            </w:tcBorders>
            <w:shd w:val="clear" w:color="auto" w:fill="3C3C3C"/>
          </w:tcPr>
          <w:p>
            <w:pPr>
              <w:spacing w:after="0"/>
              <w:rPr>
                <w:sz w:val="14"/>
                <w:szCs w:val="14"/>
                <w:color w:val="auto"/>
              </w:rPr>
            </w:pPr>
          </w:p>
        </w:tc>
        <w:tc>
          <w:tcPr>
            <w:tcW w:w="2020" w:type="dxa"/>
            <w:vAlign w:val="bottom"/>
            <w:tcBorders>
              <w:right w:val="single" w:sz="8" w:color="3C3C3C"/>
            </w:tcBorders>
            <w:shd w:val="clear" w:color="auto" w:fill="3C3C3C"/>
          </w:tcPr>
          <w:p>
            <w:pPr>
              <w:jc w:val="center"/>
              <w:ind w:right="63"/>
              <w:spacing w:after="0"/>
              <w:rPr>
                <w:sz w:val="20"/>
                <w:szCs w:val="20"/>
                <w:color w:val="auto"/>
              </w:rPr>
            </w:pPr>
            <w:r>
              <w:rPr>
                <w:rFonts w:ascii="Arial" w:cs="Arial" w:eastAsia="Arial" w:hAnsi="Arial"/>
                <w:sz w:val="14"/>
                <w:szCs w:val="14"/>
                <w:b w:val="1"/>
                <w:bCs w:val="1"/>
                <w:color w:val="FFFFFF"/>
                <w:w w:val="98"/>
              </w:rPr>
              <w:t>Termination Without Cause</w:t>
            </w:r>
          </w:p>
        </w:tc>
        <w:tc>
          <w:tcPr>
            <w:tcW w:w="210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Without Cause or For Good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860" w:type="dxa"/>
            <w:vAlign w:val="bottom"/>
            <w:tcBorders>
              <w:left w:val="single" w:sz="8" w:color="3C3C3C"/>
            </w:tcBorders>
            <w:vMerge w:val="continue"/>
            <w:shd w:val="clear" w:color="auto" w:fill="3C3C3C"/>
          </w:tcPr>
          <w:p>
            <w:pPr>
              <w:spacing w:after="0"/>
              <w:rPr>
                <w:sz w:val="9"/>
                <w:szCs w:val="9"/>
                <w:color w:val="auto"/>
              </w:rPr>
            </w:pPr>
          </w:p>
        </w:tc>
        <w:tc>
          <w:tcPr>
            <w:tcW w:w="140" w:type="dxa"/>
            <w:vAlign w:val="bottom"/>
            <w:tcBorders>
              <w:right w:val="single" w:sz="8" w:color="3C3C3C"/>
            </w:tcBorders>
            <w:shd w:val="clear" w:color="auto" w:fill="3C3C3C"/>
          </w:tcPr>
          <w:p>
            <w:pPr>
              <w:spacing w:after="0"/>
              <w:rPr>
                <w:sz w:val="9"/>
                <w:szCs w:val="9"/>
                <w:color w:val="auto"/>
              </w:rPr>
            </w:pPr>
          </w:p>
        </w:tc>
        <w:tc>
          <w:tcPr>
            <w:tcW w:w="4000" w:type="dxa"/>
            <w:vAlign w:val="bottom"/>
            <w:vMerge w:val="continue"/>
            <w:shd w:val="clear" w:color="auto" w:fill="3C3C3C"/>
          </w:tcPr>
          <w:p>
            <w:pPr>
              <w:spacing w:after="0"/>
              <w:rPr>
                <w:sz w:val="9"/>
                <w:szCs w:val="9"/>
                <w:color w:val="auto"/>
              </w:rPr>
            </w:pPr>
          </w:p>
        </w:tc>
        <w:tc>
          <w:tcPr>
            <w:tcW w:w="120" w:type="dxa"/>
            <w:vAlign w:val="bottom"/>
            <w:tcBorders>
              <w:right w:val="single" w:sz="8" w:color="3C3C3C"/>
            </w:tcBorders>
            <w:shd w:val="clear" w:color="auto" w:fill="3C3C3C"/>
          </w:tcPr>
          <w:p>
            <w:pPr>
              <w:spacing w:after="0"/>
              <w:rPr>
                <w:sz w:val="9"/>
                <w:szCs w:val="9"/>
                <w:color w:val="auto"/>
              </w:rPr>
            </w:pPr>
          </w:p>
        </w:tc>
        <w:tc>
          <w:tcPr>
            <w:tcW w:w="2020" w:type="dxa"/>
            <w:vAlign w:val="bottom"/>
            <w:tcBorders>
              <w:right w:val="single" w:sz="8" w:color="3C3C3C"/>
            </w:tcBorders>
            <w:vMerge w:val="restart"/>
            <w:shd w:val="clear" w:color="auto" w:fill="3C3C3C"/>
          </w:tcPr>
          <w:p>
            <w:pPr>
              <w:jc w:val="center"/>
              <w:ind w:right="63"/>
              <w:spacing w:after="0"/>
              <w:rPr>
                <w:sz w:val="20"/>
                <w:szCs w:val="20"/>
                <w:color w:val="auto"/>
              </w:rPr>
            </w:pPr>
            <w:r>
              <w:rPr>
                <w:rFonts w:ascii="Arial" w:cs="Arial" w:eastAsia="Arial" w:hAnsi="Arial"/>
                <w:sz w:val="14"/>
                <w:szCs w:val="14"/>
                <w:b w:val="1"/>
                <w:bCs w:val="1"/>
                <w:color w:val="FFFFFF"/>
              </w:rPr>
              <w:t>or For Good Reason</w:t>
            </w:r>
          </w:p>
        </w:tc>
        <w:tc>
          <w:tcPr>
            <w:tcW w:w="21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Reason No Change in Control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60" w:type="dxa"/>
            <w:vAlign w:val="bottom"/>
            <w:tcBorders>
              <w:left w:val="single" w:sz="8" w:color="3C3C3C"/>
            </w:tcBorders>
            <w:shd w:val="clear" w:color="auto" w:fill="3C3C3C"/>
          </w:tcPr>
          <w:p>
            <w:pPr>
              <w:spacing w:after="0"/>
              <w:rPr>
                <w:sz w:val="4"/>
                <w:szCs w:val="4"/>
                <w:color w:val="auto"/>
              </w:rPr>
            </w:pPr>
          </w:p>
        </w:tc>
        <w:tc>
          <w:tcPr>
            <w:tcW w:w="140" w:type="dxa"/>
            <w:vAlign w:val="bottom"/>
            <w:tcBorders>
              <w:right w:val="single" w:sz="8" w:color="3C3C3C"/>
            </w:tcBorders>
            <w:shd w:val="clear" w:color="auto" w:fill="3C3C3C"/>
          </w:tcPr>
          <w:p>
            <w:pPr>
              <w:spacing w:after="0"/>
              <w:rPr>
                <w:sz w:val="4"/>
                <w:szCs w:val="4"/>
                <w:color w:val="auto"/>
              </w:rPr>
            </w:pPr>
          </w:p>
        </w:tc>
        <w:tc>
          <w:tcPr>
            <w:tcW w:w="4000" w:type="dxa"/>
            <w:vAlign w:val="bottom"/>
            <w:shd w:val="clear" w:color="auto" w:fill="3C3C3C"/>
          </w:tcPr>
          <w:p>
            <w:pPr>
              <w:spacing w:after="0"/>
              <w:rPr>
                <w:sz w:val="4"/>
                <w:szCs w:val="4"/>
                <w:color w:val="auto"/>
              </w:rPr>
            </w:pPr>
          </w:p>
        </w:tc>
        <w:tc>
          <w:tcPr>
            <w:tcW w:w="120" w:type="dxa"/>
            <w:vAlign w:val="bottom"/>
            <w:tcBorders>
              <w:right w:val="single" w:sz="8" w:color="3C3C3C"/>
            </w:tcBorders>
            <w:shd w:val="clear" w:color="auto" w:fill="3C3C3C"/>
          </w:tcPr>
          <w:p>
            <w:pPr>
              <w:spacing w:after="0"/>
              <w:rPr>
                <w:sz w:val="4"/>
                <w:szCs w:val="4"/>
                <w:color w:val="auto"/>
              </w:rPr>
            </w:pPr>
          </w:p>
        </w:tc>
        <w:tc>
          <w:tcPr>
            <w:tcW w:w="2020" w:type="dxa"/>
            <w:vAlign w:val="bottom"/>
            <w:tcBorders>
              <w:right w:val="single" w:sz="8" w:color="3C3C3C"/>
            </w:tcBorders>
            <w:vMerge w:val="continue"/>
            <w:shd w:val="clear" w:color="auto" w:fill="3C3C3C"/>
          </w:tcPr>
          <w:p>
            <w:pPr>
              <w:spacing w:after="0"/>
              <w:rPr>
                <w:sz w:val="4"/>
                <w:szCs w:val="4"/>
                <w:color w:val="auto"/>
              </w:rPr>
            </w:pPr>
          </w:p>
        </w:tc>
        <w:tc>
          <w:tcPr>
            <w:tcW w:w="2100" w:type="dxa"/>
            <w:vAlign w:val="bottom"/>
            <w:vMerge w:val="continue"/>
            <w:shd w:val="clear" w:color="auto" w:fill="3C3C3C"/>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860" w:type="dxa"/>
            <w:vAlign w:val="bottom"/>
            <w:tcBorders>
              <w:left w:val="single" w:sz="8" w:color="3C3C3C"/>
            </w:tcBorders>
            <w:shd w:val="clear" w:color="auto" w:fill="3C3C3C"/>
          </w:tcPr>
          <w:p>
            <w:pPr>
              <w:spacing w:after="0"/>
              <w:rPr>
                <w:sz w:val="18"/>
                <w:szCs w:val="18"/>
                <w:color w:val="auto"/>
              </w:rPr>
            </w:pPr>
          </w:p>
        </w:tc>
        <w:tc>
          <w:tcPr>
            <w:tcW w:w="140" w:type="dxa"/>
            <w:vAlign w:val="bottom"/>
            <w:tcBorders>
              <w:right w:val="single" w:sz="8" w:color="3C3C3C"/>
            </w:tcBorders>
            <w:shd w:val="clear" w:color="auto" w:fill="3C3C3C"/>
          </w:tcPr>
          <w:p>
            <w:pPr>
              <w:spacing w:after="0"/>
              <w:rPr>
                <w:sz w:val="18"/>
                <w:szCs w:val="18"/>
                <w:color w:val="auto"/>
              </w:rPr>
            </w:pPr>
          </w:p>
        </w:tc>
        <w:tc>
          <w:tcPr>
            <w:tcW w:w="4000" w:type="dxa"/>
            <w:vAlign w:val="bottom"/>
            <w:shd w:val="clear" w:color="auto" w:fill="3C3C3C"/>
          </w:tcPr>
          <w:p>
            <w:pPr>
              <w:spacing w:after="0"/>
              <w:rPr>
                <w:sz w:val="18"/>
                <w:szCs w:val="18"/>
                <w:color w:val="auto"/>
              </w:rPr>
            </w:pPr>
          </w:p>
        </w:tc>
        <w:tc>
          <w:tcPr>
            <w:tcW w:w="2140" w:type="dxa"/>
            <w:vAlign w:val="bottom"/>
            <w:tcBorders>
              <w:right w:val="single" w:sz="8" w:color="3C3C3C"/>
            </w:tcBorders>
            <w:gridSpan w:val="2"/>
            <w:shd w:val="clear" w:color="auto" w:fill="3C3C3C"/>
          </w:tcPr>
          <w:p>
            <w:pPr>
              <w:jc w:val="center"/>
              <w:spacing w:after="0" w:line="207" w:lineRule="exact"/>
              <w:rPr>
                <w:sz w:val="20"/>
                <w:szCs w:val="20"/>
                <w:color w:val="auto"/>
              </w:rPr>
            </w:pPr>
            <w:r>
              <w:rPr>
                <w:rFonts w:ascii="Arial" w:cs="Arial" w:eastAsia="Arial" w:hAnsi="Arial"/>
                <w:sz w:val="24"/>
                <w:szCs w:val="24"/>
                <w:b w:val="1"/>
                <w:bCs w:val="1"/>
                <w:color w:val="FFFFFF"/>
                <w:w w:val="91"/>
                <w:vertAlign w:val="subscript"/>
              </w:rPr>
              <w:t>($)</w:t>
            </w:r>
            <w:r>
              <w:rPr>
                <w:rFonts w:ascii="Arial" w:cs="Arial" w:eastAsia="Arial" w:hAnsi="Arial"/>
                <w:sz w:val="9"/>
                <w:szCs w:val="9"/>
                <w:b w:val="1"/>
                <w:bCs w:val="1"/>
                <w:color w:val="FFFFFF"/>
                <w:w w:val="91"/>
              </w:rPr>
              <w:t>(1)</w:t>
            </w:r>
          </w:p>
        </w:tc>
        <w:tc>
          <w:tcPr>
            <w:tcW w:w="2100" w:type="dxa"/>
            <w:vAlign w:val="bottom"/>
            <w:shd w:val="clear" w:color="auto" w:fill="3C3C3C"/>
          </w:tcPr>
          <w:p>
            <w:pPr>
              <w:jc w:val="center"/>
              <w:spacing w:after="0" w:line="207" w:lineRule="exact"/>
              <w:rPr>
                <w:sz w:val="20"/>
                <w:szCs w:val="20"/>
                <w:color w:val="auto"/>
              </w:rPr>
            </w:pPr>
            <w:r>
              <w:rPr>
                <w:rFonts w:ascii="Arial" w:cs="Arial" w:eastAsia="Arial" w:hAnsi="Arial"/>
                <w:sz w:val="24"/>
                <w:szCs w:val="24"/>
                <w:b w:val="1"/>
                <w:bCs w:val="1"/>
                <w:color w:val="FFFFFF"/>
                <w:w w:val="91"/>
                <w:vertAlign w:val="subscript"/>
              </w:rPr>
              <w:t>($)</w:t>
            </w:r>
            <w:r>
              <w:rPr>
                <w:rFonts w:ascii="Arial" w:cs="Arial" w:eastAsia="Arial" w:hAnsi="Arial"/>
                <w:sz w:val="9"/>
                <w:szCs w:val="9"/>
                <w:b w:val="1"/>
                <w:bCs w:val="1"/>
                <w:color w:val="FFFFFF"/>
                <w:w w:val="91"/>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860" w:type="dxa"/>
            <w:vAlign w:val="bottom"/>
            <w:tcBorders>
              <w:left w:val="single" w:sz="8" w:color="7D7D7D"/>
            </w:tcBorders>
            <w:shd w:val="clear" w:color="auto" w:fill="FAF6EF"/>
          </w:tcPr>
          <w:p>
            <w:pPr>
              <w:spacing w:after="0"/>
              <w:rPr>
                <w:sz w:val="22"/>
                <w:szCs w:val="22"/>
                <w:color w:val="auto"/>
              </w:rPr>
            </w:pPr>
          </w:p>
        </w:tc>
        <w:tc>
          <w:tcPr>
            <w:tcW w:w="140" w:type="dxa"/>
            <w:vAlign w:val="bottom"/>
            <w:tcBorders>
              <w:right w:val="single" w:sz="8" w:color="7D7D7D"/>
            </w:tcBorders>
            <w:shd w:val="clear" w:color="auto" w:fill="FAF6EF"/>
          </w:tcPr>
          <w:p>
            <w:pPr>
              <w:spacing w:after="0"/>
              <w:rPr>
                <w:sz w:val="22"/>
                <w:szCs w:val="22"/>
                <w:color w:val="auto"/>
              </w:rPr>
            </w:pPr>
          </w:p>
        </w:tc>
        <w:tc>
          <w:tcPr>
            <w:tcW w:w="4000" w:type="dxa"/>
            <w:vAlign w:val="bottom"/>
            <w:shd w:val="clear" w:color="auto" w:fill="FAF6EF"/>
          </w:tcPr>
          <w:p>
            <w:pPr>
              <w:ind w:left="100"/>
              <w:spacing w:after="0"/>
              <w:rPr>
                <w:sz w:val="20"/>
                <w:szCs w:val="20"/>
                <w:color w:val="auto"/>
              </w:rPr>
            </w:pPr>
            <w:r>
              <w:rPr>
                <w:rFonts w:ascii="Arial" w:cs="Arial" w:eastAsia="Arial" w:hAnsi="Arial"/>
                <w:sz w:val="16"/>
                <w:szCs w:val="16"/>
                <w:color w:val="auto"/>
              </w:rPr>
              <w:t>Cash Severance</w:t>
            </w:r>
          </w:p>
        </w:tc>
        <w:tc>
          <w:tcPr>
            <w:tcW w:w="120" w:type="dxa"/>
            <w:vAlign w:val="bottom"/>
            <w:tcBorders>
              <w:right w:val="single" w:sz="8" w:color="7D7D7D"/>
            </w:tcBorders>
            <w:shd w:val="clear" w:color="auto" w:fill="FAF6EF"/>
          </w:tcPr>
          <w:p>
            <w:pPr>
              <w:spacing w:after="0"/>
              <w:rPr>
                <w:sz w:val="22"/>
                <w:szCs w:val="22"/>
                <w:color w:val="auto"/>
              </w:rPr>
            </w:pPr>
          </w:p>
        </w:tc>
        <w:tc>
          <w:tcPr>
            <w:tcW w:w="2020" w:type="dxa"/>
            <w:vAlign w:val="bottom"/>
            <w:tcBorders>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rPr>
              <w:t>900,000</w:t>
            </w:r>
          </w:p>
        </w:tc>
        <w:tc>
          <w:tcPr>
            <w:tcW w:w="21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900,000</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343"/>
        </w:trPr>
        <w:tc>
          <w:tcPr>
            <w:tcW w:w="2860" w:type="dxa"/>
            <w:vAlign w:val="bottom"/>
            <w:tcBorders>
              <w:left w:val="single" w:sz="8" w:color="7D7D7D"/>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Badrinarayanan Kothandaraman</w:t>
            </w:r>
          </w:p>
        </w:tc>
        <w:tc>
          <w:tcPr>
            <w:tcW w:w="140" w:type="dxa"/>
            <w:vAlign w:val="bottom"/>
            <w:tcBorders>
              <w:right w:val="single" w:sz="8" w:color="7D7D7D"/>
            </w:tcBorders>
            <w:shd w:val="clear" w:color="auto" w:fill="FAF6EF"/>
          </w:tcPr>
          <w:p>
            <w:pPr>
              <w:spacing w:after="0"/>
              <w:rPr>
                <w:sz w:val="24"/>
                <w:szCs w:val="24"/>
                <w:color w:val="auto"/>
              </w:rPr>
            </w:pPr>
          </w:p>
        </w:tc>
        <w:tc>
          <w:tcPr>
            <w:tcW w:w="4000" w:type="dxa"/>
            <w:vAlign w:val="bottom"/>
            <w:shd w:val="clear" w:color="auto" w:fill="FAF6EF"/>
          </w:tcPr>
          <w:p>
            <w:pPr>
              <w:ind w:left="100"/>
              <w:spacing w:after="0"/>
              <w:rPr>
                <w:sz w:val="20"/>
                <w:szCs w:val="20"/>
                <w:color w:val="auto"/>
              </w:rPr>
            </w:pPr>
            <w:r>
              <w:rPr>
                <w:rFonts w:ascii="Arial" w:cs="Arial" w:eastAsia="Arial" w:hAnsi="Arial"/>
                <w:sz w:val="16"/>
                <w:szCs w:val="16"/>
                <w:color w:val="auto"/>
              </w:rPr>
              <w:t>Restricted Stock Unit Acceleration</w:t>
            </w:r>
            <w:r>
              <w:rPr>
                <w:rFonts w:ascii="Arial" w:cs="Arial" w:eastAsia="Arial" w:hAnsi="Arial"/>
                <w:sz w:val="20"/>
                <w:szCs w:val="20"/>
                <w:color w:val="auto"/>
                <w:vertAlign w:val="superscript"/>
              </w:rPr>
              <w:t>(3)</w:t>
            </w:r>
          </w:p>
        </w:tc>
        <w:tc>
          <w:tcPr>
            <w:tcW w:w="120" w:type="dxa"/>
            <w:vAlign w:val="bottom"/>
            <w:tcBorders>
              <w:right w:val="single" w:sz="8" w:color="7D7D7D"/>
            </w:tcBorders>
            <w:shd w:val="clear" w:color="auto" w:fill="FAF6EF"/>
          </w:tcPr>
          <w:p>
            <w:pPr>
              <w:spacing w:after="0"/>
              <w:rPr>
                <w:sz w:val="24"/>
                <w:szCs w:val="24"/>
                <w:color w:val="auto"/>
              </w:rPr>
            </w:pPr>
          </w:p>
        </w:tc>
        <w:tc>
          <w:tcPr>
            <w:tcW w:w="2020" w:type="dxa"/>
            <w:vAlign w:val="bottom"/>
            <w:tcBorders>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w w:val="98"/>
              </w:rPr>
              <w:t>5,602,736</w:t>
            </w:r>
          </w:p>
        </w:tc>
        <w:tc>
          <w:tcPr>
            <w:tcW w:w="21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1,400,684</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860" w:type="dxa"/>
            <w:vAlign w:val="bottom"/>
            <w:tcBorders>
              <w:left w:val="single" w:sz="8" w:color="7D7D7D"/>
            </w:tcBorders>
            <w:vMerge w:val="continue"/>
            <w:shd w:val="clear" w:color="auto" w:fill="FAF6EF"/>
          </w:tcPr>
          <w:p>
            <w:pPr>
              <w:spacing w:after="0"/>
              <w:rPr>
                <w:sz w:val="11"/>
                <w:szCs w:val="11"/>
                <w:color w:val="auto"/>
              </w:rPr>
            </w:pPr>
          </w:p>
        </w:tc>
        <w:tc>
          <w:tcPr>
            <w:tcW w:w="140" w:type="dxa"/>
            <w:vAlign w:val="bottom"/>
            <w:tcBorders>
              <w:right w:val="single" w:sz="8" w:color="7D7D7D"/>
            </w:tcBorders>
            <w:shd w:val="clear" w:color="auto" w:fill="FAF6EF"/>
          </w:tcPr>
          <w:p>
            <w:pPr>
              <w:spacing w:after="0"/>
              <w:rPr>
                <w:sz w:val="11"/>
                <w:szCs w:val="11"/>
                <w:color w:val="auto"/>
              </w:rPr>
            </w:pPr>
          </w:p>
        </w:tc>
        <w:tc>
          <w:tcPr>
            <w:tcW w:w="4000" w:type="dxa"/>
            <w:vAlign w:val="bottom"/>
            <w:vMerge w:val="restart"/>
            <w:shd w:val="clear" w:color="auto" w:fill="FAF6EF"/>
          </w:tcPr>
          <w:p>
            <w:pPr>
              <w:ind w:left="100"/>
              <w:spacing w:after="0"/>
              <w:rPr>
                <w:sz w:val="20"/>
                <w:szCs w:val="20"/>
                <w:color w:val="auto"/>
              </w:rPr>
            </w:pPr>
            <w:r>
              <w:rPr>
                <w:rFonts w:ascii="Arial" w:cs="Arial" w:eastAsia="Arial" w:hAnsi="Arial"/>
                <w:sz w:val="16"/>
                <w:szCs w:val="16"/>
                <w:color w:val="auto"/>
              </w:rPr>
              <w:t>Performance Stock Unit Acceleration</w:t>
            </w:r>
            <w:r>
              <w:rPr>
                <w:rFonts w:ascii="Arial" w:cs="Arial" w:eastAsia="Arial" w:hAnsi="Arial"/>
                <w:sz w:val="20"/>
                <w:szCs w:val="20"/>
                <w:color w:val="auto"/>
                <w:vertAlign w:val="superscript"/>
              </w:rPr>
              <w:t>(4)</w:t>
            </w:r>
          </w:p>
        </w:tc>
        <w:tc>
          <w:tcPr>
            <w:tcW w:w="120" w:type="dxa"/>
            <w:vAlign w:val="bottom"/>
            <w:tcBorders>
              <w:right w:val="single" w:sz="8" w:color="7D7D7D"/>
            </w:tcBorders>
            <w:shd w:val="clear" w:color="auto" w:fill="FAF6EF"/>
          </w:tcPr>
          <w:p>
            <w:pPr>
              <w:spacing w:after="0"/>
              <w:rPr>
                <w:sz w:val="11"/>
                <w:szCs w:val="11"/>
                <w:color w:val="auto"/>
              </w:rPr>
            </w:pPr>
          </w:p>
        </w:tc>
        <w:tc>
          <w:tcPr>
            <w:tcW w:w="2020" w:type="dxa"/>
            <w:vAlign w:val="bottom"/>
            <w:tcBorders>
              <w:right w:val="single" w:sz="8" w:color="7D7D7D"/>
            </w:tcBorders>
            <w:vMerge w:val="restart"/>
            <w:shd w:val="clear" w:color="auto" w:fill="FAF6EF"/>
          </w:tcPr>
          <w:p>
            <w:pPr>
              <w:jc w:val="center"/>
              <w:ind w:right="43"/>
              <w:spacing w:after="0"/>
              <w:rPr>
                <w:sz w:val="20"/>
                <w:szCs w:val="20"/>
                <w:color w:val="auto"/>
              </w:rPr>
            </w:pPr>
            <w:r>
              <w:rPr>
                <w:rFonts w:ascii="Arial" w:cs="Arial" w:eastAsia="Arial" w:hAnsi="Arial"/>
                <w:sz w:val="16"/>
                <w:szCs w:val="16"/>
                <w:color w:val="auto"/>
                <w:w w:val="98"/>
              </w:rPr>
              <w:t>7,082,704</w:t>
            </w:r>
          </w:p>
        </w:tc>
        <w:tc>
          <w:tcPr>
            <w:tcW w:w="21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1,770,676</w:t>
            </w: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860" w:type="dxa"/>
            <w:vAlign w:val="bottom"/>
            <w:tcBorders>
              <w:left w:val="single" w:sz="8" w:color="7D7D7D"/>
            </w:tcBorders>
            <w:shd w:val="clear" w:color="auto" w:fill="FAF6EF"/>
          </w:tcPr>
          <w:p>
            <w:pPr>
              <w:spacing w:after="0"/>
              <w:rPr>
                <w:sz w:val="15"/>
                <w:szCs w:val="15"/>
                <w:color w:val="auto"/>
              </w:rPr>
            </w:pPr>
          </w:p>
        </w:tc>
        <w:tc>
          <w:tcPr>
            <w:tcW w:w="140" w:type="dxa"/>
            <w:vAlign w:val="bottom"/>
            <w:tcBorders>
              <w:right w:val="single" w:sz="8" w:color="7D7D7D"/>
            </w:tcBorders>
            <w:shd w:val="clear" w:color="auto" w:fill="FAF6EF"/>
          </w:tcPr>
          <w:p>
            <w:pPr>
              <w:spacing w:after="0"/>
              <w:rPr>
                <w:sz w:val="15"/>
                <w:szCs w:val="15"/>
                <w:color w:val="auto"/>
              </w:rPr>
            </w:pPr>
          </w:p>
        </w:tc>
        <w:tc>
          <w:tcPr>
            <w:tcW w:w="4000" w:type="dxa"/>
            <w:vAlign w:val="bottom"/>
            <w:vMerge w:val="continue"/>
            <w:shd w:val="clear" w:color="auto" w:fill="FAF6EF"/>
          </w:tcPr>
          <w:p>
            <w:pPr>
              <w:spacing w:after="0"/>
              <w:rPr>
                <w:sz w:val="15"/>
                <w:szCs w:val="15"/>
                <w:color w:val="auto"/>
              </w:rPr>
            </w:pPr>
          </w:p>
        </w:tc>
        <w:tc>
          <w:tcPr>
            <w:tcW w:w="120" w:type="dxa"/>
            <w:vAlign w:val="bottom"/>
            <w:tcBorders>
              <w:right w:val="single" w:sz="8" w:color="7D7D7D"/>
            </w:tcBorders>
            <w:shd w:val="clear" w:color="auto" w:fill="FAF6EF"/>
          </w:tcPr>
          <w:p>
            <w:pPr>
              <w:spacing w:after="0"/>
              <w:rPr>
                <w:sz w:val="15"/>
                <w:szCs w:val="15"/>
                <w:color w:val="auto"/>
              </w:rPr>
            </w:pPr>
          </w:p>
        </w:tc>
        <w:tc>
          <w:tcPr>
            <w:tcW w:w="2020" w:type="dxa"/>
            <w:vAlign w:val="bottom"/>
            <w:tcBorders>
              <w:right w:val="single" w:sz="8" w:color="7D7D7D"/>
            </w:tcBorders>
            <w:vMerge w:val="continue"/>
            <w:shd w:val="clear" w:color="auto" w:fill="FAF6EF"/>
          </w:tcPr>
          <w:p>
            <w:pPr>
              <w:spacing w:after="0"/>
              <w:rPr>
                <w:sz w:val="15"/>
                <w:szCs w:val="15"/>
                <w:color w:val="auto"/>
              </w:rPr>
            </w:pPr>
          </w:p>
        </w:tc>
        <w:tc>
          <w:tcPr>
            <w:tcW w:w="2100" w:type="dxa"/>
            <w:vAlign w:val="bottom"/>
            <w:vMerge w:val="continue"/>
            <w:shd w:val="clear" w:color="auto" w:fill="FAF6EF"/>
          </w:tcPr>
          <w:p>
            <w:pPr>
              <w:spacing w:after="0"/>
              <w:rPr>
                <w:sz w:val="15"/>
                <w:szCs w:val="15"/>
                <w:color w:val="auto"/>
              </w:rPr>
            </w:pPr>
          </w:p>
        </w:tc>
        <w:tc>
          <w:tcPr>
            <w:tcW w:w="20" w:type="dxa"/>
            <w:vAlign w:val="bottom"/>
            <w:shd w:val="clear" w:color="auto" w:fill="7D7D7D"/>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2860" w:type="dxa"/>
            <w:vAlign w:val="bottom"/>
            <w:tcBorders>
              <w:left w:val="single" w:sz="8" w:color="7D7D7D"/>
              <w:bottom w:val="single" w:sz="8" w:color="FAF6EF"/>
            </w:tcBorders>
            <w:shd w:val="clear" w:color="auto" w:fill="FAF6EF"/>
          </w:tcPr>
          <w:p>
            <w:pPr>
              <w:spacing w:after="0"/>
              <w:rPr>
                <w:sz w:val="24"/>
                <w:szCs w:val="24"/>
                <w:color w:val="auto"/>
              </w:rPr>
            </w:pPr>
          </w:p>
        </w:tc>
        <w:tc>
          <w:tcPr>
            <w:tcW w:w="140" w:type="dxa"/>
            <w:vAlign w:val="bottom"/>
            <w:tcBorders>
              <w:bottom w:val="single" w:sz="8" w:color="FAF6EF"/>
              <w:right w:val="single" w:sz="8" w:color="7D7D7D"/>
            </w:tcBorders>
            <w:shd w:val="clear" w:color="auto" w:fill="FAF6EF"/>
          </w:tcPr>
          <w:p>
            <w:pPr>
              <w:spacing w:after="0"/>
              <w:rPr>
                <w:sz w:val="24"/>
                <w:szCs w:val="24"/>
                <w:color w:val="auto"/>
              </w:rPr>
            </w:pPr>
          </w:p>
        </w:tc>
        <w:tc>
          <w:tcPr>
            <w:tcW w:w="4000" w:type="dxa"/>
            <w:vAlign w:val="bottom"/>
            <w:tcBorders>
              <w:bottom w:val="single" w:sz="8" w:color="FAF6EF"/>
            </w:tcBorders>
            <w:shd w:val="clear" w:color="auto" w:fill="FAF6EF"/>
          </w:tcPr>
          <w:p>
            <w:pPr>
              <w:ind w:left="100"/>
              <w:spacing w:after="0"/>
              <w:rPr>
                <w:sz w:val="20"/>
                <w:szCs w:val="20"/>
                <w:color w:val="auto"/>
              </w:rPr>
            </w:pPr>
            <w:r>
              <w:rPr>
                <w:rFonts w:ascii="Arial" w:cs="Arial" w:eastAsia="Arial" w:hAnsi="Arial"/>
                <w:sz w:val="16"/>
                <w:szCs w:val="16"/>
                <w:color w:val="auto"/>
              </w:rPr>
              <w:t>Continuation of Benefits</w:t>
            </w:r>
            <w:r>
              <w:rPr>
                <w:rFonts w:ascii="Arial" w:cs="Arial" w:eastAsia="Arial" w:hAnsi="Arial"/>
                <w:sz w:val="20"/>
                <w:szCs w:val="20"/>
                <w:color w:val="auto"/>
                <w:vertAlign w:val="superscript"/>
              </w:rPr>
              <w:t>(5)</w:t>
            </w:r>
          </w:p>
        </w:tc>
        <w:tc>
          <w:tcPr>
            <w:tcW w:w="120" w:type="dxa"/>
            <w:vAlign w:val="bottom"/>
            <w:tcBorders>
              <w:bottom w:val="single" w:sz="8" w:color="FAF6EF"/>
              <w:right w:val="single" w:sz="8" w:color="7D7D7D"/>
            </w:tcBorders>
            <w:shd w:val="clear" w:color="auto" w:fill="FAF6EF"/>
          </w:tcPr>
          <w:p>
            <w:pPr>
              <w:spacing w:after="0"/>
              <w:rPr>
                <w:sz w:val="24"/>
                <w:szCs w:val="24"/>
                <w:color w:val="auto"/>
              </w:rPr>
            </w:pPr>
          </w:p>
        </w:tc>
        <w:tc>
          <w:tcPr>
            <w:tcW w:w="2020" w:type="dxa"/>
            <w:vAlign w:val="bottom"/>
            <w:tcBorders>
              <w:bottom w:val="single" w:sz="8" w:color="FAF6EF"/>
              <w:right w:val="single" w:sz="8" w:color="7D7D7D"/>
            </w:tcBorders>
            <w:shd w:val="clear" w:color="auto" w:fill="FAF6EF"/>
          </w:tcPr>
          <w:p>
            <w:pPr>
              <w:jc w:val="center"/>
              <w:ind w:right="63"/>
              <w:spacing w:after="0"/>
              <w:rPr>
                <w:sz w:val="20"/>
                <w:szCs w:val="20"/>
                <w:color w:val="auto"/>
              </w:rPr>
            </w:pPr>
            <w:r>
              <w:rPr>
                <w:rFonts w:ascii="Arial" w:cs="Arial" w:eastAsia="Arial" w:hAnsi="Arial"/>
                <w:sz w:val="16"/>
                <w:szCs w:val="16"/>
                <w:color w:val="auto"/>
                <w:w w:val="98"/>
              </w:rPr>
              <w:t>25,419</w:t>
            </w:r>
          </w:p>
        </w:tc>
        <w:tc>
          <w:tcPr>
            <w:tcW w:w="2100" w:type="dxa"/>
            <w:vAlign w:val="bottom"/>
            <w:tcBorders>
              <w:bottom w:val="single" w:sz="8" w:color="FAF6EF"/>
            </w:tcBorders>
            <w:shd w:val="clear" w:color="auto" w:fill="FAF6EF"/>
          </w:tcPr>
          <w:p>
            <w:pPr>
              <w:jc w:val="center"/>
              <w:spacing w:after="0"/>
              <w:rPr>
                <w:sz w:val="20"/>
                <w:szCs w:val="20"/>
                <w:color w:val="auto"/>
              </w:rPr>
            </w:pPr>
            <w:r>
              <w:rPr>
                <w:rFonts w:ascii="Arial" w:cs="Arial" w:eastAsia="Arial" w:hAnsi="Arial"/>
                <w:sz w:val="16"/>
                <w:szCs w:val="16"/>
                <w:color w:val="auto"/>
                <w:w w:val="98"/>
              </w:rPr>
              <w:t>25,419</w:t>
            </w:r>
          </w:p>
        </w:tc>
        <w:tc>
          <w:tcPr>
            <w:tcW w:w="20" w:type="dxa"/>
            <w:vAlign w:val="bottom"/>
            <w:tcBorders>
              <w:bottom w:val="single" w:sz="8" w:color="7D7D7D"/>
            </w:tcBorders>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860" w:type="dxa"/>
            <w:vAlign w:val="bottom"/>
            <w:tcBorders>
              <w:left w:val="single" w:sz="8" w:color="7D7D7D"/>
            </w:tcBorders>
          </w:tcPr>
          <w:p>
            <w:pPr>
              <w:spacing w:after="0"/>
              <w:rPr>
                <w:sz w:val="22"/>
                <w:szCs w:val="22"/>
                <w:color w:val="auto"/>
              </w:rPr>
            </w:pPr>
          </w:p>
        </w:tc>
        <w:tc>
          <w:tcPr>
            <w:tcW w:w="140" w:type="dxa"/>
            <w:vAlign w:val="bottom"/>
            <w:tcBorders>
              <w:right w:val="single" w:sz="8" w:color="7D7D7D"/>
            </w:tcBorders>
          </w:tcPr>
          <w:p>
            <w:pPr>
              <w:spacing w:after="0"/>
              <w:rPr>
                <w:sz w:val="22"/>
                <w:szCs w:val="22"/>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Cash Severance</w:t>
            </w:r>
          </w:p>
        </w:tc>
        <w:tc>
          <w:tcPr>
            <w:tcW w:w="120" w:type="dxa"/>
            <w:vAlign w:val="bottom"/>
            <w:tcBorders>
              <w:right w:val="single" w:sz="8" w:color="7D7D7D"/>
            </w:tcBorders>
          </w:tcPr>
          <w:p>
            <w:pPr>
              <w:spacing w:after="0"/>
              <w:rPr>
                <w:sz w:val="22"/>
                <w:szCs w:val="22"/>
                <w:color w:val="auto"/>
              </w:rPr>
            </w:pPr>
          </w:p>
        </w:tc>
        <w:tc>
          <w:tcPr>
            <w:tcW w:w="202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rPr>
              <w:t>482,344</w:t>
            </w:r>
          </w:p>
        </w:tc>
        <w:tc>
          <w:tcPr>
            <w:tcW w:w="2100" w:type="dxa"/>
            <w:vAlign w:val="bottom"/>
          </w:tcPr>
          <w:p>
            <w:pPr>
              <w:jc w:val="center"/>
              <w:spacing w:after="0"/>
              <w:rPr>
                <w:sz w:val="20"/>
                <w:szCs w:val="20"/>
                <w:color w:val="auto"/>
              </w:rPr>
            </w:pPr>
            <w:r>
              <w:rPr>
                <w:rFonts w:ascii="Arial" w:cs="Arial" w:eastAsia="Arial" w:hAnsi="Arial"/>
                <w:sz w:val="16"/>
                <w:szCs w:val="16"/>
                <w:color w:val="auto"/>
              </w:rPr>
              <w:t>321,563</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343"/>
        </w:trPr>
        <w:tc>
          <w:tcPr>
            <w:tcW w:w="2860" w:type="dxa"/>
            <w:vAlign w:val="bottom"/>
            <w:tcBorders>
              <w:left w:val="single" w:sz="8" w:color="7D7D7D"/>
            </w:tcBorders>
            <w:vMerge w:val="restart"/>
          </w:tcPr>
          <w:p>
            <w:pPr>
              <w:ind w:left="120"/>
              <w:spacing w:after="0"/>
              <w:rPr>
                <w:sz w:val="20"/>
                <w:szCs w:val="20"/>
                <w:color w:val="auto"/>
              </w:rPr>
            </w:pPr>
            <w:r>
              <w:rPr>
                <w:rFonts w:ascii="Arial" w:cs="Arial" w:eastAsia="Arial" w:hAnsi="Arial"/>
                <w:sz w:val="16"/>
                <w:szCs w:val="16"/>
                <w:b w:val="1"/>
                <w:bCs w:val="1"/>
                <w:color w:val="auto"/>
              </w:rPr>
              <w:t>Mandy Yang</w:t>
            </w:r>
          </w:p>
        </w:tc>
        <w:tc>
          <w:tcPr>
            <w:tcW w:w="140" w:type="dxa"/>
            <w:vAlign w:val="bottom"/>
            <w:tcBorders>
              <w:right w:val="single" w:sz="8" w:color="7D7D7D"/>
            </w:tcBorders>
          </w:tcPr>
          <w:p>
            <w:pPr>
              <w:spacing w:after="0"/>
              <w:rPr>
                <w:sz w:val="24"/>
                <w:szCs w:val="24"/>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Restricted Stock Unit Acceleration</w:t>
            </w:r>
            <w:r>
              <w:rPr>
                <w:rFonts w:ascii="Arial" w:cs="Arial" w:eastAsia="Arial" w:hAnsi="Arial"/>
                <w:sz w:val="20"/>
                <w:szCs w:val="20"/>
                <w:color w:val="auto"/>
                <w:vertAlign w:val="superscript"/>
              </w:rPr>
              <w:t>(3)</w:t>
            </w:r>
          </w:p>
        </w:tc>
        <w:tc>
          <w:tcPr>
            <w:tcW w:w="120" w:type="dxa"/>
            <w:vAlign w:val="bottom"/>
            <w:tcBorders>
              <w:right w:val="single" w:sz="8" w:color="7D7D7D"/>
            </w:tcBorders>
          </w:tcPr>
          <w:p>
            <w:pPr>
              <w:spacing w:after="0"/>
              <w:rPr>
                <w:sz w:val="24"/>
                <w:szCs w:val="24"/>
                <w:color w:val="auto"/>
              </w:rPr>
            </w:pPr>
          </w:p>
        </w:tc>
        <w:tc>
          <w:tcPr>
            <w:tcW w:w="2020" w:type="dxa"/>
            <w:vAlign w:val="bottom"/>
            <w:tcBorders>
              <w:right w:val="single" w:sz="8" w:color="7D7D7D"/>
            </w:tcBorders>
          </w:tcPr>
          <w:p>
            <w:pPr>
              <w:jc w:val="center"/>
              <w:ind w:right="43"/>
              <w:spacing w:after="0"/>
              <w:rPr>
                <w:sz w:val="20"/>
                <w:szCs w:val="20"/>
                <w:color w:val="auto"/>
              </w:rPr>
            </w:pPr>
            <w:r>
              <w:rPr>
                <w:rFonts w:ascii="Arial" w:cs="Arial" w:eastAsia="Arial" w:hAnsi="Arial"/>
                <w:sz w:val="16"/>
                <w:szCs w:val="16"/>
                <w:color w:val="auto"/>
                <w:w w:val="98"/>
              </w:rPr>
              <w:t>4,794,039</w:t>
            </w:r>
          </w:p>
        </w:tc>
        <w:tc>
          <w:tcPr>
            <w:tcW w:w="210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860" w:type="dxa"/>
            <w:vAlign w:val="bottom"/>
            <w:tcBorders>
              <w:left w:val="single" w:sz="8" w:color="7D7D7D"/>
            </w:tcBorders>
            <w:vMerge w:val="continue"/>
          </w:tcPr>
          <w:p>
            <w:pPr>
              <w:spacing w:after="0"/>
              <w:rPr>
                <w:sz w:val="11"/>
                <w:szCs w:val="11"/>
                <w:color w:val="auto"/>
              </w:rPr>
            </w:pPr>
          </w:p>
        </w:tc>
        <w:tc>
          <w:tcPr>
            <w:tcW w:w="140" w:type="dxa"/>
            <w:vAlign w:val="bottom"/>
            <w:tcBorders>
              <w:right w:val="single" w:sz="8" w:color="7D7D7D"/>
            </w:tcBorders>
          </w:tcPr>
          <w:p>
            <w:pPr>
              <w:spacing w:after="0"/>
              <w:rPr>
                <w:sz w:val="11"/>
                <w:szCs w:val="11"/>
                <w:color w:val="auto"/>
              </w:rPr>
            </w:pPr>
          </w:p>
        </w:tc>
        <w:tc>
          <w:tcPr>
            <w:tcW w:w="4000" w:type="dxa"/>
            <w:vAlign w:val="bottom"/>
            <w:vMerge w:val="restart"/>
          </w:tcPr>
          <w:p>
            <w:pPr>
              <w:ind w:left="100"/>
              <w:spacing w:after="0"/>
              <w:rPr>
                <w:sz w:val="20"/>
                <w:szCs w:val="20"/>
                <w:color w:val="auto"/>
              </w:rPr>
            </w:pPr>
            <w:r>
              <w:rPr>
                <w:rFonts w:ascii="Arial" w:cs="Arial" w:eastAsia="Arial" w:hAnsi="Arial"/>
                <w:sz w:val="16"/>
                <w:szCs w:val="16"/>
                <w:color w:val="auto"/>
              </w:rPr>
              <w:t>Performance Stock Unit Acceleration</w:t>
            </w:r>
            <w:r>
              <w:rPr>
                <w:rFonts w:ascii="Arial" w:cs="Arial" w:eastAsia="Arial" w:hAnsi="Arial"/>
                <w:sz w:val="20"/>
                <w:szCs w:val="20"/>
                <w:color w:val="auto"/>
                <w:vertAlign w:val="superscript"/>
              </w:rPr>
              <w:t>(4)</w:t>
            </w:r>
          </w:p>
        </w:tc>
        <w:tc>
          <w:tcPr>
            <w:tcW w:w="120" w:type="dxa"/>
            <w:vAlign w:val="bottom"/>
            <w:tcBorders>
              <w:right w:val="single" w:sz="8" w:color="7D7D7D"/>
            </w:tcBorders>
          </w:tcPr>
          <w:p>
            <w:pPr>
              <w:spacing w:after="0"/>
              <w:rPr>
                <w:sz w:val="11"/>
                <w:szCs w:val="11"/>
                <w:color w:val="auto"/>
              </w:rPr>
            </w:pPr>
          </w:p>
        </w:tc>
        <w:tc>
          <w:tcPr>
            <w:tcW w:w="2020" w:type="dxa"/>
            <w:vAlign w:val="bottom"/>
            <w:tcBorders>
              <w:right w:val="single" w:sz="8" w:color="7D7D7D"/>
            </w:tcBorders>
            <w:vMerge w:val="restart"/>
          </w:tcPr>
          <w:p>
            <w:pPr>
              <w:jc w:val="center"/>
              <w:ind w:right="43"/>
              <w:spacing w:after="0"/>
              <w:rPr>
                <w:sz w:val="20"/>
                <w:szCs w:val="20"/>
                <w:color w:val="auto"/>
              </w:rPr>
            </w:pPr>
            <w:r>
              <w:rPr>
                <w:rFonts w:ascii="Arial" w:cs="Arial" w:eastAsia="Arial" w:hAnsi="Arial"/>
                <w:sz w:val="16"/>
                <w:szCs w:val="16"/>
                <w:color w:val="auto"/>
                <w:w w:val="98"/>
              </w:rPr>
              <w:t>2,301,879</w:t>
            </w:r>
          </w:p>
        </w:tc>
        <w:tc>
          <w:tcPr>
            <w:tcW w:w="2100" w:type="dxa"/>
            <w:vAlign w:val="bottom"/>
            <w:vMerge w:val="restart"/>
          </w:tcPr>
          <w:p>
            <w:pPr>
              <w:jc w:val="center"/>
              <w:spacing w:after="0"/>
              <w:rPr>
                <w:sz w:val="20"/>
                <w:szCs w:val="20"/>
                <w:color w:val="auto"/>
              </w:rPr>
            </w:pPr>
            <w:r>
              <w:rPr>
                <w:rFonts w:ascii="Arial" w:cs="Arial" w:eastAsia="Arial" w:hAnsi="Arial"/>
                <w:sz w:val="16"/>
                <w:szCs w:val="16"/>
                <w:color w:val="auto"/>
                <w:w w:val="87"/>
              </w:rPr>
              <w:t>—</w:t>
            </w: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860" w:type="dxa"/>
            <w:vAlign w:val="bottom"/>
            <w:tcBorders>
              <w:left w:val="single" w:sz="8" w:color="7D7D7D"/>
            </w:tcBorders>
          </w:tcPr>
          <w:p>
            <w:pPr>
              <w:spacing w:after="0"/>
              <w:rPr>
                <w:sz w:val="15"/>
                <w:szCs w:val="15"/>
                <w:color w:val="auto"/>
              </w:rPr>
            </w:pPr>
          </w:p>
        </w:tc>
        <w:tc>
          <w:tcPr>
            <w:tcW w:w="140" w:type="dxa"/>
            <w:vAlign w:val="bottom"/>
            <w:tcBorders>
              <w:right w:val="single" w:sz="8" w:color="7D7D7D"/>
            </w:tcBorders>
          </w:tcPr>
          <w:p>
            <w:pPr>
              <w:spacing w:after="0"/>
              <w:rPr>
                <w:sz w:val="15"/>
                <w:szCs w:val="15"/>
                <w:color w:val="auto"/>
              </w:rPr>
            </w:pPr>
          </w:p>
        </w:tc>
        <w:tc>
          <w:tcPr>
            <w:tcW w:w="4000" w:type="dxa"/>
            <w:vAlign w:val="bottom"/>
            <w:vMerge w:val="continue"/>
          </w:tcPr>
          <w:p>
            <w:pPr>
              <w:spacing w:after="0"/>
              <w:rPr>
                <w:sz w:val="15"/>
                <w:szCs w:val="15"/>
                <w:color w:val="auto"/>
              </w:rPr>
            </w:pPr>
          </w:p>
        </w:tc>
        <w:tc>
          <w:tcPr>
            <w:tcW w:w="120" w:type="dxa"/>
            <w:vAlign w:val="bottom"/>
            <w:tcBorders>
              <w:right w:val="single" w:sz="8" w:color="7D7D7D"/>
            </w:tcBorders>
          </w:tcPr>
          <w:p>
            <w:pPr>
              <w:spacing w:after="0"/>
              <w:rPr>
                <w:sz w:val="15"/>
                <w:szCs w:val="15"/>
                <w:color w:val="auto"/>
              </w:rPr>
            </w:pPr>
          </w:p>
        </w:tc>
        <w:tc>
          <w:tcPr>
            <w:tcW w:w="2020" w:type="dxa"/>
            <w:vAlign w:val="bottom"/>
            <w:tcBorders>
              <w:right w:val="single" w:sz="8" w:color="7D7D7D"/>
            </w:tcBorders>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20" w:type="dxa"/>
            <w:vAlign w:val="bottom"/>
            <w:shd w:val="clear" w:color="auto" w:fill="7D7D7D"/>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2860" w:type="dxa"/>
            <w:vAlign w:val="bottom"/>
            <w:tcBorders>
              <w:left w:val="single" w:sz="8" w:color="7D7D7D"/>
            </w:tcBorders>
          </w:tcPr>
          <w:p>
            <w:pPr>
              <w:spacing w:after="0"/>
              <w:rPr>
                <w:sz w:val="24"/>
                <w:szCs w:val="24"/>
                <w:color w:val="auto"/>
              </w:rPr>
            </w:pPr>
          </w:p>
        </w:tc>
        <w:tc>
          <w:tcPr>
            <w:tcW w:w="140" w:type="dxa"/>
            <w:vAlign w:val="bottom"/>
            <w:tcBorders>
              <w:right w:val="single" w:sz="8" w:color="7D7D7D"/>
            </w:tcBorders>
          </w:tcPr>
          <w:p>
            <w:pPr>
              <w:spacing w:after="0"/>
              <w:rPr>
                <w:sz w:val="24"/>
                <w:szCs w:val="24"/>
                <w:color w:val="auto"/>
              </w:rPr>
            </w:pPr>
          </w:p>
        </w:tc>
        <w:tc>
          <w:tcPr>
            <w:tcW w:w="4000" w:type="dxa"/>
            <w:vAlign w:val="bottom"/>
          </w:tcPr>
          <w:p>
            <w:pPr>
              <w:ind w:left="100"/>
              <w:spacing w:after="0"/>
              <w:rPr>
                <w:sz w:val="20"/>
                <w:szCs w:val="20"/>
                <w:color w:val="auto"/>
              </w:rPr>
            </w:pPr>
            <w:r>
              <w:rPr>
                <w:rFonts w:ascii="Arial" w:cs="Arial" w:eastAsia="Arial" w:hAnsi="Arial"/>
                <w:sz w:val="16"/>
                <w:szCs w:val="16"/>
                <w:color w:val="auto"/>
              </w:rPr>
              <w:t>Continuation of Benefits</w:t>
            </w:r>
            <w:r>
              <w:rPr>
                <w:rFonts w:ascii="Arial" w:cs="Arial" w:eastAsia="Arial" w:hAnsi="Arial"/>
                <w:sz w:val="20"/>
                <w:szCs w:val="20"/>
                <w:color w:val="auto"/>
                <w:vertAlign w:val="superscript"/>
              </w:rPr>
              <w:t>(5)</w:t>
            </w:r>
          </w:p>
        </w:tc>
        <w:tc>
          <w:tcPr>
            <w:tcW w:w="120" w:type="dxa"/>
            <w:vAlign w:val="bottom"/>
            <w:tcBorders>
              <w:right w:val="single" w:sz="8" w:color="7D7D7D"/>
            </w:tcBorders>
          </w:tcPr>
          <w:p>
            <w:pPr>
              <w:spacing w:after="0"/>
              <w:rPr>
                <w:sz w:val="24"/>
                <w:szCs w:val="24"/>
                <w:color w:val="auto"/>
              </w:rPr>
            </w:pPr>
          </w:p>
        </w:tc>
        <w:tc>
          <w:tcPr>
            <w:tcW w:w="2020" w:type="dxa"/>
            <w:vAlign w:val="bottom"/>
            <w:tcBorders>
              <w:right w:val="single" w:sz="8" w:color="7D7D7D"/>
            </w:tcBorders>
          </w:tcPr>
          <w:p>
            <w:pPr>
              <w:jc w:val="center"/>
              <w:ind w:right="63"/>
              <w:spacing w:after="0"/>
              <w:rPr>
                <w:sz w:val="20"/>
                <w:szCs w:val="20"/>
                <w:color w:val="auto"/>
              </w:rPr>
            </w:pPr>
            <w:r>
              <w:rPr>
                <w:rFonts w:ascii="Arial" w:cs="Arial" w:eastAsia="Arial" w:hAnsi="Arial"/>
                <w:sz w:val="16"/>
                <w:szCs w:val="16"/>
                <w:color w:val="auto"/>
                <w:w w:val="98"/>
              </w:rPr>
              <w:t>25,167</w:t>
            </w:r>
          </w:p>
        </w:tc>
        <w:tc>
          <w:tcPr>
            <w:tcW w:w="2100" w:type="dxa"/>
            <w:vAlign w:val="bottom"/>
          </w:tcPr>
          <w:p>
            <w:pPr>
              <w:jc w:val="center"/>
              <w:spacing w:after="0"/>
              <w:rPr>
                <w:sz w:val="20"/>
                <w:szCs w:val="20"/>
                <w:color w:val="auto"/>
              </w:rPr>
            </w:pPr>
            <w:r>
              <w:rPr>
                <w:rFonts w:ascii="Arial" w:cs="Arial" w:eastAsia="Arial" w:hAnsi="Arial"/>
                <w:sz w:val="16"/>
                <w:szCs w:val="16"/>
                <w:color w:val="auto"/>
                <w:w w:val="98"/>
              </w:rPr>
              <w:t>16,778</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860" w:type="dxa"/>
            <w:vAlign w:val="bottom"/>
            <w:tcBorders>
              <w:left w:val="single" w:sz="8" w:color="7D7D7D"/>
            </w:tcBorders>
          </w:tcPr>
          <w:p>
            <w:pPr>
              <w:spacing w:after="0"/>
              <w:rPr>
                <w:sz w:val="2"/>
                <w:szCs w:val="2"/>
                <w:color w:val="auto"/>
              </w:rPr>
            </w:pPr>
          </w:p>
        </w:tc>
        <w:tc>
          <w:tcPr>
            <w:tcW w:w="140" w:type="dxa"/>
            <w:vAlign w:val="bottom"/>
            <w:tcBorders>
              <w:right w:val="single" w:sz="8" w:color="7D7D7D"/>
            </w:tcBorders>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tcBorders>
              <w:right w:val="single" w:sz="8" w:color="7D7D7D"/>
            </w:tcBorders>
          </w:tcPr>
          <w:p>
            <w:pPr>
              <w:spacing w:after="0"/>
              <w:rPr>
                <w:sz w:val="2"/>
                <w:szCs w:val="2"/>
                <w:color w:val="auto"/>
              </w:rPr>
            </w:pPr>
          </w:p>
        </w:tc>
        <w:tc>
          <w:tcPr>
            <w:tcW w:w="2020" w:type="dxa"/>
            <w:vAlign w:val="bottom"/>
            <w:tcBorders>
              <w:right w:val="single" w:sz="8" w:color="7D7D7D"/>
            </w:tcBorders>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shd w:val="clear" w:color="auto" w:fill="7D7D7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2860" w:type="dxa"/>
            <w:vAlign w:val="bottom"/>
            <w:tcBorders>
              <w:left w:val="single" w:sz="8" w:color="7D7D7D"/>
            </w:tcBorders>
            <w:shd w:val="clear" w:color="auto" w:fill="FAF6EF"/>
          </w:tcPr>
          <w:p>
            <w:pPr>
              <w:spacing w:after="0"/>
              <w:rPr>
                <w:sz w:val="22"/>
                <w:szCs w:val="22"/>
                <w:color w:val="auto"/>
              </w:rPr>
            </w:pPr>
          </w:p>
        </w:tc>
        <w:tc>
          <w:tcPr>
            <w:tcW w:w="140" w:type="dxa"/>
            <w:vAlign w:val="bottom"/>
            <w:tcBorders>
              <w:right w:val="single" w:sz="8" w:color="7D7D7D"/>
            </w:tcBorders>
            <w:shd w:val="clear" w:color="auto" w:fill="FAF6EF"/>
          </w:tcPr>
          <w:p>
            <w:pPr>
              <w:spacing w:after="0"/>
              <w:rPr>
                <w:sz w:val="22"/>
                <w:szCs w:val="22"/>
                <w:color w:val="auto"/>
              </w:rPr>
            </w:pPr>
          </w:p>
        </w:tc>
        <w:tc>
          <w:tcPr>
            <w:tcW w:w="4000" w:type="dxa"/>
            <w:vAlign w:val="bottom"/>
            <w:shd w:val="clear" w:color="auto" w:fill="FAF6EF"/>
          </w:tcPr>
          <w:p>
            <w:pPr>
              <w:ind w:left="100"/>
              <w:spacing w:after="0"/>
              <w:rPr>
                <w:sz w:val="20"/>
                <w:szCs w:val="20"/>
                <w:color w:val="auto"/>
              </w:rPr>
            </w:pPr>
            <w:r>
              <w:rPr>
                <w:rFonts w:ascii="Arial" w:cs="Arial" w:eastAsia="Arial" w:hAnsi="Arial"/>
                <w:sz w:val="16"/>
                <w:szCs w:val="16"/>
                <w:color w:val="auto"/>
              </w:rPr>
              <w:t>Cash Severance</w:t>
            </w:r>
          </w:p>
        </w:tc>
        <w:tc>
          <w:tcPr>
            <w:tcW w:w="120" w:type="dxa"/>
            <w:vAlign w:val="bottom"/>
            <w:tcBorders>
              <w:right w:val="single" w:sz="8" w:color="7D7D7D"/>
            </w:tcBorders>
            <w:shd w:val="clear" w:color="auto" w:fill="FAF6EF"/>
          </w:tcPr>
          <w:p>
            <w:pPr>
              <w:spacing w:after="0"/>
              <w:rPr>
                <w:sz w:val="22"/>
                <w:szCs w:val="22"/>
                <w:color w:val="auto"/>
              </w:rPr>
            </w:pPr>
          </w:p>
        </w:tc>
        <w:tc>
          <w:tcPr>
            <w:tcW w:w="2020" w:type="dxa"/>
            <w:vAlign w:val="bottom"/>
            <w:tcBorders>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rPr>
              <w:t>700,000</w:t>
            </w:r>
          </w:p>
        </w:tc>
        <w:tc>
          <w:tcPr>
            <w:tcW w:w="210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700,000</w:t>
            </w:r>
          </w:p>
        </w:tc>
        <w:tc>
          <w:tcPr>
            <w:tcW w:w="20" w:type="dxa"/>
            <w:vAlign w:val="bottom"/>
            <w:shd w:val="clear" w:color="auto" w:fill="7D7D7D"/>
          </w:tcPr>
          <w:p>
            <w:pPr>
              <w:spacing w:after="0"/>
              <w:rPr>
                <w:sz w:val="22"/>
                <w:szCs w:val="22"/>
                <w:color w:val="auto"/>
              </w:rPr>
            </w:pPr>
          </w:p>
        </w:tc>
        <w:tc>
          <w:tcPr>
            <w:tcW w:w="0" w:type="dxa"/>
            <w:vAlign w:val="bottom"/>
          </w:tcPr>
          <w:p>
            <w:pPr>
              <w:spacing w:after="0"/>
              <w:rPr>
                <w:sz w:val="1"/>
                <w:szCs w:val="1"/>
                <w:color w:val="auto"/>
              </w:rPr>
            </w:pPr>
          </w:p>
        </w:tc>
      </w:tr>
      <w:tr>
        <w:trPr>
          <w:trHeight w:val="343"/>
        </w:trPr>
        <w:tc>
          <w:tcPr>
            <w:tcW w:w="2860" w:type="dxa"/>
            <w:vAlign w:val="bottom"/>
            <w:tcBorders>
              <w:left w:val="single" w:sz="8" w:color="7D7D7D"/>
            </w:tcBorders>
            <w:vMerge w:val="restart"/>
            <w:shd w:val="clear" w:color="auto" w:fill="FAF6EF"/>
          </w:tcPr>
          <w:p>
            <w:pPr>
              <w:ind w:left="120"/>
              <w:spacing w:after="0"/>
              <w:rPr>
                <w:sz w:val="20"/>
                <w:szCs w:val="20"/>
                <w:color w:val="auto"/>
              </w:rPr>
            </w:pPr>
            <w:r>
              <w:rPr>
                <w:rFonts w:ascii="Arial" w:cs="Arial" w:eastAsia="Arial" w:hAnsi="Arial"/>
                <w:sz w:val="16"/>
                <w:szCs w:val="16"/>
                <w:b w:val="1"/>
                <w:bCs w:val="1"/>
                <w:color w:val="auto"/>
              </w:rPr>
              <w:t>David Ranhoff</w:t>
            </w:r>
          </w:p>
        </w:tc>
        <w:tc>
          <w:tcPr>
            <w:tcW w:w="140" w:type="dxa"/>
            <w:vAlign w:val="bottom"/>
            <w:tcBorders>
              <w:right w:val="single" w:sz="8" w:color="7D7D7D"/>
            </w:tcBorders>
            <w:shd w:val="clear" w:color="auto" w:fill="FAF6EF"/>
          </w:tcPr>
          <w:p>
            <w:pPr>
              <w:spacing w:after="0"/>
              <w:rPr>
                <w:sz w:val="24"/>
                <w:szCs w:val="24"/>
                <w:color w:val="auto"/>
              </w:rPr>
            </w:pPr>
          </w:p>
        </w:tc>
        <w:tc>
          <w:tcPr>
            <w:tcW w:w="4000" w:type="dxa"/>
            <w:vAlign w:val="bottom"/>
            <w:shd w:val="clear" w:color="auto" w:fill="FAF6EF"/>
          </w:tcPr>
          <w:p>
            <w:pPr>
              <w:ind w:left="100"/>
              <w:spacing w:after="0"/>
              <w:rPr>
                <w:sz w:val="20"/>
                <w:szCs w:val="20"/>
                <w:color w:val="auto"/>
              </w:rPr>
            </w:pPr>
            <w:r>
              <w:rPr>
                <w:rFonts w:ascii="Arial" w:cs="Arial" w:eastAsia="Arial" w:hAnsi="Arial"/>
                <w:sz w:val="16"/>
                <w:szCs w:val="16"/>
                <w:color w:val="auto"/>
              </w:rPr>
              <w:t>Restricted Stock Unit Acceleration</w:t>
            </w:r>
            <w:r>
              <w:rPr>
                <w:rFonts w:ascii="Arial" w:cs="Arial" w:eastAsia="Arial" w:hAnsi="Arial"/>
                <w:sz w:val="20"/>
                <w:szCs w:val="20"/>
                <w:color w:val="auto"/>
                <w:vertAlign w:val="superscript"/>
              </w:rPr>
              <w:t>(3)</w:t>
            </w:r>
          </w:p>
        </w:tc>
        <w:tc>
          <w:tcPr>
            <w:tcW w:w="120" w:type="dxa"/>
            <w:vAlign w:val="bottom"/>
            <w:tcBorders>
              <w:right w:val="single" w:sz="8" w:color="7D7D7D"/>
            </w:tcBorders>
            <w:shd w:val="clear" w:color="auto" w:fill="FAF6EF"/>
          </w:tcPr>
          <w:p>
            <w:pPr>
              <w:spacing w:after="0"/>
              <w:rPr>
                <w:sz w:val="24"/>
                <w:szCs w:val="24"/>
                <w:color w:val="auto"/>
              </w:rPr>
            </w:pPr>
          </w:p>
        </w:tc>
        <w:tc>
          <w:tcPr>
            <w:tcW w:w="2020" w:type="dxa"/>
            <w:vAlign w:val="bottom"/>
            <w:tcBorders>
              <w:right w:val="single" w:sz="8" w:color="7D7D7D"/>
            </w:tcBorders>
            <w:shd w:val="clear" w:color="auto" w:fill="FAF6EF"/>
          </w:tcPr>
          <w:p>
            <w:pPr>
              <w:jc w:val="center"/>
              <w:ind w:right="43"/>
              <w:spacing w:after="0"/>
              <w:rPr>
                <w:sz w:val="20"/>
                <w:szCs w:val="20"/>
                <w:color w:val="auto"/>
              </w:rPr>
            </w:pPr>
            <w:r>
              <w:rPr>
                <w:rFonts w:ascii="Arial" w:cs="Arial" w:eastAsia="Arial" w:hAnsi="Arial"/>
                <w:sz w:val="16"/>
                <w:szCs w:val="16"/>
                <w:color w:val="auto"/>
                <w:w w:val="98"/>
              </w:rPr>
              <w:t>6,712,712</w:t>
            </w:r>
          </w:p>
        </w:tc>
        <w:tc>
          <w:tcPr>
            <w:tcW w:w="21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1,678,178</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860" w:type="dxa"/>
            <w:vAlign w:val="bottom"/>
            <w:tcBorders>
              <w:left w:val="single" w:sz="8" w:color="7D7D7D"/>
            </w:tcBorders>
            <w:vMerge w:val="continue"/>
            <w:shd w:val="clear" w:color="auto" w:fill="FAF6EF"/>
          </w:tcPr>
          <w:p>
            <w:pPr>
              <w:spacing w:after="0"/>
              <w:rPr>
                <w:sz w:val="11"/>
                <w:szCs w:val="11"/>
                <w:color w:val="auto"/>
              </w:rPr>
            </w:pPr>
          </w:p>
        </w:tc>
        <w:tc>
          <w:tcPr>
            <w:tcW w:w="140" w:type="dxa"/>
            <w:vAlign w:val="bottom"/>
            <w:tcBorders>
              <w:right w:val="single" w:sz="8" w:color="7D7D7D"/>
            </w:tcBorders>
            <w:shd w:val="clear" w:color="auto" w:fill="FAF6EF"/>
          </w:tcPr>
          <w:p>
            <w:pPr>
              <w:spacing w:after="0"/>
              <w:rPr>
                <w:sz w:val="11"/>
                <w:szCs w:val="11"/>
                <w:color w:val="auto"/>
              </w:rPr>
            </w:pPr>
          </w:p>
        </w:tc>
        <w:tc>
          <w:tcPr>
            <w:tcW w:w="4000" w:type="dxa"/>
            <w:vAlign w:val="bottom"/>
            <w:vMerge w:val="restart"/>
            <w:shd w:val="clear" w:color="auto" w:fill="FAF6EF"/>
          </w:tcPr>
          <w:p>
            <w:pPr>
              <w:ind w:left="100"/>
              <w:spacing w:after="0"/>
              <w:rPr>
                <w:sz w:val="20"/>
                <w:szCs w:val="20"/>
                <w:color w:val="auto"/>
              </w:rPr>
            </w:pPr>
            <w:r>
              <w:rPr>
                <w:rFonts w:ascii="Arial" w:cs="Arial" w:eastAsia="Arial" w:hAnsi="Arial"/>
                <w:sz w:val="16"/>
                <w:szCs w:val="16"/>
                <w:color w:val="auto"/>
              </w:rPr>
              <w:t>Performance Stock Unit Acceleration</w:t>
            </w:r>
            <w:r>
              <w:rPr>
                <w:rFonts w:ascii="Arial" w:cs="Arial" w:eastAsia="Arial" w:hAnsi="Arial"/>
                <w:sz w:val="20"/>
                <w:szCs w:val="20"/>
                <w:color w:val="auto"/>
                <w:vertAlign w:val="superscript"/>
              </w:rPr>
              <w:t>(4)</w:t>
            </w:r>
          </w:p>
        </w:tc>
        <w:tc>
          <w:tcPr>
            <w:tcW w:w="120" w:type="dxa"/>
            <w:vAlign w:val="bottom"/>
            <w:tcBorders>
              <w:right w:val="single" w:sz="8" w:color="7D7D7D"/>
            </w:tcBorders>
            <w:shd w:val="clear" w:color="auto" w:fill="FAF6EF"/>
          </w:tcPr>
          <w:p>
            <w:pPr>
              <w:spacing w:after="0"/>
              <w:rPr>
                <w:sz w:val="11"/>
                <w:szCs w:val="11"/>
                <w:color w:val="auto"/>
              </w:rPr>
            </w:pPr>
          </w:p>
        </w:tc>
        <w:tc>
          <w:tcPr>
            <w:tcW w:w="2020" w:type="dxa"/>
            <w:vAlign w:val="bottom"/>
            <w:tcBorders>
              <w:right w:val="single" w:sz="8" w:color="7D7D7D"/>
            </w:tcBorders>
            <w:vMerge w:val="restart"/>
            <w:shd w:val="clear" w:color="auto" w:fill="FAF6EF"/>
          </w:tcPr>
          <w:p>
            <w:pPr>
              <w:jc w:val="center"/>
              <w:ind w:right="43"/>
              <w:spacing w:after="0"/>
              <w:rPr>
                <w:sz w:val="20"/>
                <w:szCs w:val="20"/>
                <w:color w:val="auto"/>
              </w:rPr>
            </w:pPr>
            <w:r>
              <w:rPr>
                <w:rFonts w:ascii="Arial" w:cs="Arial" w:eastAsia="Arial" w:hAnsi="Arial"/>
                <w:sz w:val="16"/>
                <w:szCs w:val="16"/>
                <w:color w:val="auto"/>
                <w:w w:val="98"/>
              </w:rPr>
              <w:t>4,869,359</w:t>
            </w:r>
          </w:p>
        </w:tc>
        <w:tc>
          <w:tcPr>
            <w:tcW w:w="2100" w:type="dxa"/>
            <w:vAlign w:val="bottom"/>
            <w:vMerge w:val="restart"/>
            <w:shd w:val="clear" w:color="auto" w:fill="FAF6EF"/>
          </w:tcPr>
          <w:p>
            <w:pPr>
              <w:jc w:val="center"/>
              <w:spacing w:after="0"/>
              <w:rPr>
                <w:sz w:val="20"/>
                <w:szCs w:val="20"/>
                <w:color w:val="auto"/>
              </w:rPr>
            </w:pPr>
            <w:r>
              <w:rPr>
                <w:rFonts w:ascii="Arial" w:cs="Arial" w:eastAsia="Arial" w:hAnsi="Arial"/>
                <w:sz w:val="16"/>
                <w:szCs w:val="16"/>
                <w:color w:val="auto"/>
                <w:w w:val="98"/>
              </w:rPr>
              <w:t>1,217,340</w:t>
            </w: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860" w:type="dxa"/>
            <w:vAlign w:val="bottom"/>
            <w:tcBorders>
              <w:left w:val="single" w:sz="8" w:color="7D7D7D"/>
            </w:tcBorders>
            <w:shd w:val="clear" w:color="auto" w:fill="FAF6EF"/>
          </w:tcPr>
          <w:p>
            <w:pPr>
              <w:spacing w:after="0"/>
              <w:rPr>
                <w:sz w:val="15"/>
                <w:szCs w:val="15"/>
                <w:color w:val="auto"/>
              </w:rPr>
            </w:pPr>
          </w:p>
        </w:tc>
        <w:tc>
          <w:tcPr>
            <w:tcW w:w="140" w:type="dxa"/>
            <w:vAlign w:val="bottom"/>
            <w:tcBorders>
              <w:right w:val="single" w:sz="8" w:color="7D7D7D"/>
            </w:tcBorders>
            <w:shd w:val="clear" w:color="auto" w:fill="FAF6EF"/>
          </w:tcPr>
          <w:p>
            <w:pPr>
              <w:spacing w:after="0"/>
              <w:rPr>
                <w:sz w:val="15"/>
                <w:szCs w:val="15"/>
                <w:color w:val="auto"/>
              </w:rPr>
            </w:pPr>
          </w:p>
        </w:tc>
        <w:tc>
          <w:tcPr>
            <w:tcW w:w="4000" w:type="dxa"/>
            <w:vAlign w:val="bottom"/>
            <w:vMerge w:val="continue"/>
            <w:shd w:val="clear" w:color="auto" w:fill="FAF6EF"/>
          </w:tcPr>
          <w:p>
            <w:pPr>
              <w:spacing w:after="0"/>
              <w:rPr>
                <w:sz w:val="15"/>
                <w:szCs w:val="15"/>
                <w:color w:val="auto"/>
              </w:rPr>
            </w:pPr>
          </w:p>
        </w:tc>
        <w:tc>
          <w:tcPr>
            <w:tcW w:w="120" w:type="dxa"/>
            <w:vAlign w:val="bottom"/>
            <w:tcBorders>
              <w:right w:val="single" w:sz="8" w:color="7D7D7D"/>
            </w:tcBorders>
            <w:shd w:val="clear" w:color="auto" w:fill="FAF6EF"/>
          </w:tcPr>
          <w:p>
            <w:pPr>
              <w:spacing w:after="0"/>
              <w:rPr>
                <w:sz w:val="15"/>
                <w:szCs w:val="15"/>
                <w:color w:val="auto"/>
              </w:rPr>
            </w:pPr>
          </w:p>
        </w:tc>
        <w:tc>
          <w:tcPr>
            <w:tcW w:w="2020" w:type="dxa"/>
            <w:vAlign w:val="bottom"/>
            <w:tcBorders>
              <w:right w:val="single" w:sz="8" w:color="7D7D7D"/>
            </w:tcBorders>
            <w:vMerge w:val="continue"/>
            <w:shd w:val="clear" w:color="auto" w:fill="FAF6EF"/>
          </w:tcPr>
          <w:p>
            <w:pPr>
              <w:spacing w:after="0"/>
              <w:rPr>
                <w:sz w:val="15"/>
                <w:szCs w:val="15"/>
                <w:color w:val="auto"/>
              </w:rPr>
            </w:pPr>
          </w:p>
        </w:tc>
        <w:tc>
          <w:tcPr>
            <w:tcW w:w="2100" w:type="dxa"/>
            <w:vAlign w:val="bottom"/>
            <w:vMerge w:val="continue"/>
            <w:shd w:val="clear" w:color="auto" w:fill="FAF6EF"/>
          </w:tcPr>
          <w:p>
            <w:pPr>
              <w:spacing w:after="0"/>
              <w:rPr>
                <w:sz w:val="15"/>
                <w:szCs w:val="15"/>
                <w:color w:val="auto"/>
              </w:rPr>
            </w:pPr>
          </w:p>
        </w:tc>
        <w:tc>
          <w:tcPr>
            <w:tcW w:w="20" w:type="dxa"/>
            <w:vAlign w:val="bottom"/>
            <w:shd w:val="clear" w:color="auto" w:fill="7D7D7D"/>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2860" w:type="dxa"/>
            <w:vAlign w:val="bottom"/>
            <w:tcBorders>
              <w:left w:val="single" w:sz="8" w:color="7D7D7D"/>
            </w:tcBorders>
            <w:shd w:val="clear" w:color="auto" w:fill="FAF6EF"/>
          </w:tcPr>
          <w:p>
            <w:pPr>
              <w:spacing w:after="0"/>
              <w:rPr>
                <w:sz w:val="24"/>
                <w:szCs w:val="24"/>
                <w:color w:val="auto"/>
              </w:rPr>
            </w:pPr>
          </w:p>
        </w:tc>
        <w:tc>
          <w:tcPr>
            <w:tcW w:w="140" w:type="dxa"/>
            <w:vAlign w:val="bottom"/>
            <w:tcBorders>
              <w:right w:val="single" w:sz="8" w:color="7D7D7D"/>
            </w:tcBorders>
            <w:shd w:val="clear" w:color="auto" w:fill="FAF6EF"/>
          </w:tcPr>
          <w:p>
            <w:pPr>
              <w:spacing w:after="0"/>
              <w:rPr>
                <w:sz w:val="24"/>
                <w:szCs w:val="24"/>
                <w:color w:val="auto"/>
              </w:rPr>
            </w:pPr>
          </w:p>
        </w:tc>
        <w:tc>
          <w:tcPr>
            <w:tcW w:w="4000" w:type="dxa"/>
            <w:vAlign w:val="bottom"/>
            <w:shd w:val="clear" w:color="auto" w:fill="FAF6EF"/>
          </w:tcPr>
          <w:p>
            <w:pPr>
              <w:ind w:left="100"/>
              <w:spacing w:after="0"/>
              <w:rPr>
                <w:sz w:val="20"/>
                <w:szCs w:val="20"/>
                <w:color w:val="auto"/>
              </w:rPr>
            </w:pPr>
            <w:r>
              <w:rPr>
                <w:rFonts w:ascii="Arial" w:cs="Arial" w:eastAsia="Arial" w:hAnsi="Arial"/>
                <w:sz w:val="16"/>
                <w:szCs w:val="16"/>
                <w:color w:val="auto"/>
              </w:rPr>
              <w:t>Continuation of Benefits</w:t>
            </w:r>
            <w:r>
              <w:rPr>
                <w:rFonts w:ascii="Arial" w:cs="Arial" w:eastAsia="Arial" w:hAnsi="Arial"/>
                <w:sz w:val="20"/>
                <w:szCs w:val="20"/>
                <w:color w:val="auto"/>
                <w:vertAlign w:val="superscript"/>
              </w:rPr>
              <w:t>(5)</w:t>
            </w:r>
          </w:p>
        </w:tc>
        <w:tc>
          <w:tcPr>
            <w:tcW w:w="120" w:type="dxa"/>
            <w:vAlign w:val="bottom"/>
            <w:tcBorders>
              <w:right w:val="single" w:sz="8" w:color="7D7D7D"/>
            </w:tcBorders>
            <w:shd w:val="clear" w:color="auto" w:fill="FAF6EF"/>
          </w:tcPr>
          <w:p>
            <w:pPr>
              <w:spacing w:after="0"/>
              <w:rPr>
                <w:sz w:val="24"/>
                <w:szCs w:val="24"/>
                <w:color w:val="auto"/>
              </w:rPr>
            </w:pPr>
          </w:p>
        </w:tc>
        <w:tc>
          <w:tcPr>
            <w:tcW w:w="2020" w:type="dxa"/>
            <w:vAlign w:val="bottom"/>
            <w:tcBorders>
              <w:right w:val="single" w:sz="8" w:color="7D7D7D"/>
            </w:tcBorders>
            <w:shd w:val="clear" w:color="auto" w:fill="FAF6EF"/>
          </w:tcPr>
          <w:p>
            <w:pPr>
              <w:jc w:val="center"/>
              <w:ind w:right="63"/>
              <w:spacing w:after="0"/>
              <w:rPr>
                <w:sz w:val="20"/>
                <w:szCs w:val="20"/>
                <w:color w:val="auto"/>
              </w:rPr>
            </w:pPr>
            <w:r>
              <w:rPr>
                <w:rFonts w:ascii="Arial" w:cs="Arial" w:eastAsia="Arial" w:hAnsi="Arial"/>
                <w:sz w:val="16"/>
                <w:szCs w:val="16"/>
                <w:color w:val="auto"/>
                <w:w w:val="98"/>
              </w:rPr>
              <w:t>33,555</w:t>
            </w:r>
          </w:p>
        </w:tc>
        <w:tc>
          <w:tcPr>
            <w:tcW w:w="21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33,555</w:t>
            </w:r>
          </w:p>
        </w:tc>
        <w:tc>
          <w:tcPr>
            <w:tcW w:w="20" w:type="dxa"/>
            <w:vAlign w:val="bottom"/>
            <w:shd w:val="clear" w:color="auto" w:fill="7D7D7D"/>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860" w:type="dxa"/>
            <w:vAlign w:val="bottom"/>
            <w:tcBorders>
              <w:left w:val="single" w:sz="8" w:color="7D7D7D"/>
            </w:tcBorders>
            <w:shd w:val="clear" w:color="auto" w:fill="FAF6EF"/>
          </w:tcPr>
          <w:p>
            <w:pPr>
              <w:spacing w:after="0"/>
              <w:rPr>
                <w:sz w:val="2"/>
                <w:szCs w:val="2"/>
                <w:color w:val="auto"/>
              </w:rPr>
            </w:pPr>
          </w:p>
        </w:tc>
        <w:tc>
          <w:tcPr>
            <w:tcW w:w="140" w:type="dxa"/>
            <w:vAlign w:val="bottom"/>
            <w:tcBorders>
              <w:right w:val="single" w:sz="8" w:color="7D7D7D"/>
            </w:tcBorders>
            <w:shd w:val="clear" w:color="auto" w:fill="FAF6EF"/>
          </w:tcPr>
          <w:p>
            <w:pPr>
              <w:spacing w:after="0"/>
              <w:rPr>
                <w:sz w:val="2"/>
                <w:szCs w:val="2"/>
                <w:color w:val="auto"/>
              </w:rPr>
            </w:pPr>
          </w:p>
        </w:tc>
        <w:tc>
          <w:tcPr>
            <w:tcW w:w="4000" w:type="dxa"/>
            <w:vAlign w:val="bottom"/>
            <w:shd w:val="clear" w:color="auto" w:fill="FAF6EF"/>
          </w:tcPr>
          <w:p>
            <w:pPr>
              <w:spacing w:after="0"/>
              <w:rPr>
                <w:sz w:val="2"/>
                <w:szCs w:val="2"/>
                <w:color w:val="auto"/>
              </w:rPr>
            </w:pPr>
          </w:p>
        </w:tc>
        <w:tc>
          <w:tcPr>
            <w:tcW w:w="120" w:type="dxa"/>
            <w:vAlign w:val="bottom"/>
            <w:tcBorders>
              <w:right w:val="single" w:sz="8" w:color="7D7D7D"/>
            </w:tcBorders>
            <w:shd w:val="clear" w:color="auto" w:fill="FAF6EF"/>
          </w:tcPr>
          <w:p>
            <w:pPr>
              <w:spacing w:after="0"/>
              <w:rPr>
                <w:sz w:val="2"/>
                <w:szCs w:val="2"/>
                <w:color w:val="auto"/>
              </w:rPr>
            </w:pPr>
          </w:p>
        </w:tc>
        <w:tc>
          <w:tcPr>
            <w:tcW w:w="2020" w:type="dxa"/>
            <w:vAlign w:val="bottom"/>
            <w:tcBorders>
              <w:right w:val="single" w:sz="8" w:color="7D7D7D"/>
            </w:tcBorders>
            <w:shd w:val="clear" w:color="auto" w:fill="FAF6EF"/>
          </w:tcPr>
          <w:p>
            <w:pPr>
              <w:spacing w:after="0"/>
              <w:rPr>
                <w:sz w:val="2"/>
                <w:szCs w:val="2"/>
                <w:color w:val="auto"/>
              </w:rPr>
            </w:pPr>
          </w:p>
        </w:tc>
        <w:tc>
          <w:tcPr>
            <w:tcW w:w="2100" w:type="dxa"/>
            <w:vAlign w:val="bottom"/>
            <w:shd w:val="clear" w:color="auto" w:fill="FAF6EF"/>
          </w:tcPr>
          <w:p>
            <w:pPr>
              <w:spacing w:after="0"/>
              <w:rPr>
                <w:sz w:val="2"/>
                <w:szCs w:val="2"/>
                <w:color w:val="auto"/>
              </w:rPr>
            </w:pPr>
          </w:p>
        </w:tc>
        <w:tc>
          <w:tcPr>
            <w:tcW w:w="20" w:type="dxa"/>
            <w:vAlign w:val="bottom"/>
            <w:shd w:val="clear" w:color="auto" w:fill="7D7D7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jc w:val="both"/>
        <w:ind w:left="240" w:right="20" w:hanging="235"/>
        <w:spacing w:after="0" w:line="270" w:lineRule="auto"/>
        <w:tabs>
          <w:tab w:leader="none" w:pos="226" w:val="left"/>
        </w:tabs>
        <w:numPr>
          <w:ilvl w:val="0"/>
          <w:numId w:val="79"/>
        </w:numPr>
        <w:rPr>
          <w:rFonts w:ascii="Arial" w:cs="Arial" w:eastAsia="Arial" w:hAnsi="Arial"/>
          <w:sz w:val="14"/>
          <w:szCs w:val="14"/>
          <w:color w:val="7D7D7D"/>
        </w:rPr>
      </w:pPr>
      <w:r>
        <w:rPr>
          <w:rFonts w:ascii="Arial" w:cs="Arial" w:eastAsia="Arial" w:hAnsi="Arial"/>
          <w:sz w:val="14"/>
          <w:szCs w:val="14"/>
          <w:color w:val="7D7D7D"/>
        </w:rPr>
        <w:t>The amounts shown represent the estimated value of the severance benefits payable under the Severance Plan (and the estimated value of equity acceleration under our stock incentive plans for awards not covered under the Severance Plan) in the event of a qualifying termination of employment in connection with a change in control, as such benefits are described more fully above.</w:t>
      </w:r>
    </w:p>
    <w:p>
      <w:pPr>
        <w:spacing w:after="0" w:line="19" w:lineRule="exact"/>
        <w:rPr>
          <w:sz w:val="20"/>
          <w:szCs w:val="20"/>
          <w:color w:val="auto"/>
        </w:rPr>
      </w:pPr>
    </w:p>
    <w:p>
      <w:pPr>
        <w:ind w:left="240" w:right="20" w:hanging="235"/>
        <w:spacing w:after="0" w:line="268" w:lineRule="auto"/>
        <w:tabs>
          <w:tab w:leader="none" w:pos="226" w:val="left"/>
        </w:tabs>
        <w:numPr>
          <w:ilvl w:val="0"/>
          <w:numId w:val="80"/>
        </w:numPr>
        <w:rPr>
          <w:rFonts w:ascii="Arial" w:cs="Arial" w:eastAsia="Arial" w:hAnsi="Arial"/>
          <w:sz w:val="14"/>
          <w:szCs w:val="14"/>
          <w:color w:val="7D7D7D"/>
        </w:rPr>
      </w:pPr>
      <w:r>
        <w:rPr>
          <w:rFonts w:ascii="Arial" w:cs="Arial" w:eastAsia="Arial" w:hAnsi="Arial"/>
          <w:sz w:val="14"/>
          <w:szCs w:val="14"/>
          <w:color w:val="7D7D7D"/>
        </w:rPr>
        <w:t>The amounts shown represent the estimated value of the severance benefits payable under the Severance Plan in the event of a termination of employment by us without cause or for Good Reason, as such benefits are described more fully above.</w:t>
      </w:r>
    </w:p>
    <w:p>
      <w:pPr>
        <w:spacing w:after="0" w:line="19" w:lineRule="exact"/>
        <w:rPr>
          <w:sz w:val="20"/>
          <w:szCs w:val="20"/>
          <w:color w:val="auto"/>
        </w:rPr>
      </w:pPr>
    </w:p>
    <w:p>
      <w:pPr>
        <w:jc w:val="both"/>
        <w:ind w:left="240" w:right="20" w:hanging="235"/>
        <w:spacing w:after="0" w:line="270" w:lineRule="auto"/>
        <w:tabs>
          <w:tab w:leader="none" w:pos="226" w:val="left"/>
        </w:tabs>
        <w:numPr>
          <w:ilvl w:val="0"/>
          <w:numId w:val="81"/>
        </w:numPr>
        <w:rPr>
          <w:rFonts w:ascii="Arial" w:cs="Arial" w:eastAsia="Arial" w:hAnsi="Arial"/>
          <w:sz w:val="14"/>
          <w:szCs w:val="14"/>
          <w:color w:val="7D7D7D"/>
        </w:rPr>
      </w:pPr>
      <w:r>
        <w:rPr>
          <w:rFonts w:ascii="Arial" w:cs="Arial" w:eastAsia="Arial" w:hAnsi="Arial"/>
          <w:sz w:val="14"/>
          <w:szCs w:val="14"/>
          <w:color w:val="7D7D7D"/>
        </w:rPr>
        <w:t>The amounts shown represent the portion of the RSU award that would have accelerated in connection with the termination event and are based on the intrinsic value of that portion as of December 31, 2023. These intrinsic values were calculated by multiplying (i) $132.14, the Nasdaq Stock Market closing price of a share of our common stock on December 29, 2023, the last trading day in fiscal 2023, by (ii) the number of stock units that would have vested on an accelerated basis on December 31, 2023.</w:t>
      </w:r>
    </w:p>
    <w:p>
      <w:pPr>
        <w:spacing w:after="0" w:line="19" w:lineRule="exact"/>
        <w:rPr>
          <w:sz w:val="20"/>
          <w:szCs w:val="20"/>
          <w:color w:val="auto"/>
        </w:rPr>
      </w:pPr>
    </w:p>
    <w:p>
      <w:pPr>
        <w:jc w:val="both"/>
        <w:ind w:left="240" w:right="20" w:hanging="235"/>
        <w:spacing w:after="0" w:line="260" w:lineRule="auto"/>
        <w:tabs>
          <w:tab w:leader="none" w:pos="226" w:val="left"/>
        </w:tabs>
        <w:numPr>
          <w:ilvl w:val="0"/>
          <w:numId w:val="82"/>
        </w:numPr>
        <w:rPr>
          <w:rFonts w:ascii="Arial" w:cs="Arial" w:eastAsia="Arial" w:hAnsi="Arial"/>
          <w:sz w:val="14"/>
          <w:szCs w:val="14"/>
          <w:color w:val="7D7D7D"/>
        </w:rPr>
      </w:pPr>
      <w:r>
        <w:rPr>
          <w:rFonts w:ascii="Arial" w:cs="Arial" w:eastAsia="Arial" w:hAnsi="Arial"/>
          <w:sz w:val="14"/>
          <w:szCs w:val="14"/>
          <w:color w:val="7D7D7D"/>
        </w:rPr>
        <w:t>The amounts shown represent the target number of PSUs that would have accelerated in connection with the termination event and are based on the intrinsic value of those units as of December 31, 2023. These intrinsic values were calculated by multiplying (i) $132.14, the Nasdaq Stock Market closing price of a share of our common stock on December 29, 2023, the last trading day in 2023, by (ii) the target number of PSUs that would have vested on an accelerated basis on December 31, 2023.</w:t>
      </w:r>
    </w:p>
    <w:p>
      <w:pPr>
        <w:spacing w:after="0" w:line="26" w:lineRule="exact"/>
        <w:rPr>
          <w:sz w:val="20"/>
          <w:szCs w:val="20"/>
          <w:color w:val="auto"/>
        </w:rPr>
      </w:pPr>
    </w:p>
    <w:p>
      <w:pPr>
        <w:ind w:left="240" w:right="20" w:hanging="235"/>
        <w:spacing w:after="0" w:line="287" w:lineRule="auto"/>
        <w:tabs>
          <w:tab w:leader="none" w:pos="226" w:val="left"/>
        </w:tabs>
        <w:numPr>
          <w:ilvl w:val="0"/>
          <w:numId w:val="83"/>
        </w:numPr>
        <w:rPr>
          <w:rFonts w:ascii="Arial" w:cs="Arial" w:eastAsia="Arial" w:hAnsi="Arial"/>
          <w:sz w:val="14"/>
          <w:szCs w:val="14"/>
          <w:color w:val="7D7D7D"/>
        </w:rPr>
      </w:pPr>
      <w:r>
        <w:rPr>
          <w:rFonts w:ascii="Arial" w:cs="Arial" w:eastAsia="Arial" w:hAnsi="Arial"/>
          <w:sz w:val="14"/>
          <w:szCs w:val="14"/>
          <w:color w:val="7D7D7D"/>
        </w:rPr>
        <w:t>For purposes of the calculation for these amounts, expected costs have not been adjusted for any actuarial assumptions related to mortality, likelihood that the executive will find other employment, or discount rates for determining present value.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884" w:right="319" w:bottom="1440" w:gutter="0" w:footer="0" w:header="0"/>
        </w:sectPr>
      </w:pPr>
    </w:p>
    <w:bookmarkStart w:id="63" w:name="page64"/>
    <w:bookmarkEnd w:id="63"/>
    <w:p>
      <w:pPr>
        <w:spacing w:after="0"/>
        <w:rPr>
          <w:sz w:val="20"/>
          <w:szCs w:val="20"/>
          <w:color w:val="auto"/>
        </w:rPr>
      </w:pPr>
      <w:r>
        <w:rPr>
          <w:rFonts w:ascii="Arial" w:cs="Arial" w:eastAsia="Arial" w:hAnsi="Arial"/>
          <w:sz w:val="31"/>
          <w:szCs w:val="31"/>
          <w:b w:val="1"/>
          <w:bCs w:val="1"/>
          <w:color w:val="auto"/>
        </w:rPr>
        <w:t>CEO Pay Ratio</w:t>
      </w:r>
    </w:p>
    <w:p>
      <w:pPr>
        <w:spacing w:after="0" w:line="26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Under rules adopted pursuant to the Dodd-Frank Act, we are required to calculate and disclose the annual total compensation paid to our median employee, as well as the ratio of the annual total compensation paid to the median employee as compared to the annual total compensation paid to our CEO (the “CEO Pay Ratio”).</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identify our median employee, we calculated the annual target total direct compensation for 2023 of each employee as of December 31, 2023. We identified the median compensated employee among an employee population of approximately 1,002 U.S. employees and 2,148 international employees. We did not exclude any employees whether pursuant to the de minimis exemption for foreign employees or any other permitted exclusion. For these purposes, annual target total direct compensation included each employee’s (a) base salary or base wages, (b) target cash incentive bonus opportunity and (c) the grant date fair value of equity awards. We selected this “consistently applied compensation measure,” because it reflects our primary compensation elements across our employee population. All amounts were annualized for regular full-time employees who did not work for the entire year of 2023. We did not apply any cost-of-living adjustment as part of the calculation. Further, in identifying the median employee, we converted compensation amounts paid in foreign currencies based on the applicable year-to-date average exchange rate as of December 31, 2023. As a result, we substituted an employee near the median whose compensation was viewed as more representative of our median employee.</w:t>
      </w:r>
    </w:p>
    <w:p>
      <w:pPr>
        <w:spacing w:after="0" w:line="12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accordance with the rules set forth in Item 402(u) of Regulation S-K promulgated under the Exchange Act, we calculated the median employee’s annual total compensation in the same manner as the calculation of the CEO’s annual total compensation in the Summary Compensation Table. Our median employee’s annual total compensation for 2023 was $64,379. Our CEO’s annual total compensation for 2023, as reported in the Summary Compensation Table, was $19,527,534. Therefore, our CEO Pay Ratio for 2023 was approximately 303:1.</w:t>
      </w:r>
    </w:p>
    <w:p>
      <w:pPr>
        <w:spacing w:after="0" w:line="12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4" w:name="page65"/>
    <w:bookmarkEnd w:id="64"/>
    <w:p>
      <w:pPr>
        <w:spacing w:after="0"/>
        <w:rPr>
          <w:sz w:val="20"/>
          <w:szCs w:val="20"/>
          <w:color w:val="auto"/>
        </w:rPr>
      </w:pPr>
      <w:r>
        <w:rPr>
          <w:rFonts w:ascii="Arial" w:cs="Arial" w:eastAsia="Arial" w:hAnsi="Arial"/>
          <w:sz w:val="31"/>
          <w:szCs w:val="31"/>
          <w:b w:val="1"/>
          <w:bCs w:val="1"/>
          <w:color w:val="auto"/>
        </w:rPr>
        <w:t>Pay Versus Performance</w:t>
      </w:r>
    </w:p>
    <w:p>
      <w:pPr>
        <w:spacing w:after="0" w:line="261" w:lineRule="exact"/>
        <w:rPr>
          <w:sz w:val="20"/>
          <w:szCs w:val="20"/>
          <w:color w:val="auto"/>
        </w:rPr>
      </w:pPr>
    </w:p>
    <w:p>
      <w:pPr>
        <w:ind w:right="460"/>
        <w:spacing w:after="0" w:line="295" w:lineRule="auto"/>
        <w:rPr>
          <w:sz w:val="20"/>
          <w:szCs w:val="20"/>
          <w:color w:val="auto"/>
        </w:rPr>
      </w:pPr>
      <w:r>
        <w:rPr>
          <w:rFonts w:ascii="Arial" w:cs="Arial" w:eastAsia="Arial" w:hAnsi="Arial"/>
          <w:sz w:val="16"/>
          <w:szCs w:val="16"/>
          <w:color w:val="auto"/>
        </w:rPr>
        <w:t>As required by Section 953(a) of the Dodd-Frank Act, and Item 402(v) of Regulation S-K, we are providing the following information about the relationship between executive compensation actually paid (or “CAP,” as defined by SEC rules and further described below) and certain Company financial performance metrics.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40" w:type="dxa"/>
            <w:vAlign w:val="bottom"/>
            <w:tcBorders>
              <w:left w:val="single" w:sz="8" w:color="3C3C3C"/>
              <w:right w:val="single" w:sz="8" w:color="3C3C3C"/>
            </w:tcBorders>
            <w:shd w:val="clear" w:color="auto" w:fill="3C3C3C"/>
          </w:tcPr>
          <w:p>
            <w:pPr>
              <w:spacing w:after="0"/>
              <w:rPr>
                <w:sz w:val="18"/>
                <w:szCs w:val="18"/>
                <w:color w:val="auto"/>
              </w:rPr>
            </w:pPr>
          </w:p>
        </w:tc>
        <w:tc>
          <w:tcPr>
            <w:tcW w:w="700" w:type="dxa"/>
            <w:vAlign w:val="bottom"/>
            <w:shd w:val="clear" w:color="auto" w:fill="3C3C3C"/>
          </w:tcPr>
          <w:p>
            <w:pPr>
              <w:spacing w:after="0"/>
              <w:rPr>
                <w:sz w:val="18"/>
                <w:szCs w:val="18"/>
                <w:color w:val="auto"/>
              </w:rPr>
            </w:pPr>
          </w:p>
        </w:tc>
        <w:tc>
          <w:tcPr>
            <w:tcW w:w="760" w:type="dxa"/>
            <w:vAlign w:val="bottom"/>
            <w:tcBorders>
              <w:right w:val="single" w:sz="8" w:color="3C3C3C"/>
            </w:tcBorders>
            <w:shd w:val="clear" w:color="auto" w:fill="3C3C3C"/>
          </w:tcPr>
          <w:p>
            <w:pPr>
              <w:spacing w:after="0"/>
              <w:rPr>
                <w:sz w:val="18"/>
                <w:szCs w:val="18"/>
                <w:color w:val="auto"/>
              </w:rPr>
            </w:pPr>
          </w:p>
        </w:tc>
        <w:tc>
          <w:tcPr>
            <w:tcW w:w="1320" w:type="dxa"/>
            <w:vAlign w:val="bottom"/>
            <w:tcBorders>
              <w:right w:val="single" w:sz="8" w:color="3C3C3C"/>
            </w:tcBorders>
            <w:shd w:val="clear" w:color="auto" w:fill="3C3C3C"/>
          </w:tcPr>
          <w:p>
            <w:pPr>
              <w:spacing w:after="0"/>
              <w:rPr>
                <w:sz w:val="18"/>
                <w:szCs w:val="18"/>
                <w:color w:val="auto"/>
              </w:rPr>
            </w:pPr>
          </w:p>
        </w:tc>
        <w:tc>
          <w:tcPr>
            <w:tcW w:w="1240" w:type="dxa"/>
            <w:vAlign w:val="bottom"/>
            <w:tcBorders>
              <w:right w:val="single" w:sz="8" w:color="3C3C3C"/>
            </w:tcBorders>
            <w:vMerge w:val="restart"/>
            <w:shd w:val="clear" w:color="auto" w:fill="3C3C3C"/>
          </w:tcPr>
          <w:p>
            <w:pPr>
              <w:jc w:val="center"/>
              <w:ind w:right="70"/>
              <w:spacing w:after="0"/>
              <w:rPr>
                <w:sz w:val="20"/>
                <w:szCs w:val="20"/>
                <w:color w:val="auto"/>
              </w:rPr>
            </w:pPr>
            <w:r>
              <w:rPr>
                <w:rFonts w:ascii="Arial" w:cs="Arial" w:eastAsia="Arial" w:hAnsi="Arial"/>
                <w:sz w:val="14"/>
                <w:szCs w:val="14"/>
                <w:b w:val="1"/>
                <w:bCs w:val="1"/>
                <w:color w:val="FFFFFF"/>
                <w:w w:val="97"/>
              </w:rPr>
              <w:t>Average</w:t>
            </w:r>
          </w:p>
        </w:tc>
        <w:tc>
          <w:tcPr>
            <w:tcW w:w="640" w:type="dxa"/>
            <w:vAlign w:val="bottom"/>
            <w:shd w:val="clear" w:color="auto" w:fill="3C3C3C"/>
          </w:tcPr>
          <w:p>
            <w:pPr>
              <w:spacing w:after="0"/>
              <w:rPr>
                <w:sz w:val="18"/>
                <w:szCs w:val="18"/>
                <w:color w:val="auto"/>
              </w:rPr>
            </w:pPr>
          </w:p>
        </w:tc>
        <w:tc>
          <w:tcPr>
            <w:tcW w:w="600" w:type="dxa"/>
            <w:vAlign w:val="bottom"/>
            <w:shd w:val="clear" w:color="auto" w:fill="3C3C3C"/>
          </w:tcPr>
          <w:p>
            <w:pPr>
              <w:spacing w:after="0"/>
              <w:rPr>
                <w:sz w:val="18"/>
                <w:szCs w:val="18"/>
                <w:color w:val="auto"/>
              </w:rPr>
            </w:pPr>
          </w:p>
        </w:tc>
        <w:tc>
          <w:tcPr>
            <w:tcW w:w="120" w:type="dxa"/>
            <w:vAlign w:val="bottom"/>
            <w:tcBorders>
              <w:right w:val="single" w:sz="8" w:color="3C3C3C"/>
            </w:tcBorders>
            <w:shd w:val="clear" w:color="auto" w:fill="3C3C3C"/>
          </w:tcPr>
          <w:p>
            <w:pPr>
              <w:spacing w:after="0"/>
              <w:rPr>
                <w:sz w:val="18"/>
                <w:szCs w:val="18"/>
                <w:color w:val="auto"/>
              </w:rPr>
            </w:pPr>
          </w:p>
        </w:tc>
        <w:tc>
          <w:tcPr>
            <w:tcW w:w="2580" w:type="dxa"/>
            <w:vAlign w:val="bottom"/>
            <w:gridSpan w:val="3"/>
            <w:shd w:val="clear" w:color="auto" w:fill="3C3C3C"/>
          </w:tcPr>
          <w:p>
            <w:pPr>
              <w:jc w:val="right"/>
              <w:spacing w:after="0"/>
              <w:rPr>
                <w:sz w:val="20"/>
                <w:szCs w:val="20"/>
                <w:color w:val="auto"/>
              </w:rPr>
            </w:pPr>
            <w:r>
              <w:rPr>
                <w:rFonts w:ascii="Arial" w:cs="Arial" w:eastAsia="Arial" w:hAnsi="Arial"/>
                <w:sz w:val="14"/>
                <w:szCs w:val="14"/>
                <w:b w:val="1"/>
                <w:bCs w:val="1"/>
                <w:color w:val="FFFFFF"/>
              </w:rPr>
              <w:t>Value of Initial Fixed $100 Investment</w:t>
            </w:r>
          </w:p>
        </w:tc>
        <w:tc>
          <w:tcPr>
            <w:tcW w:w="120" w:type="dxa"/>
            <w:vAlign w:val="bottom"/>
            <w:tcBorders>
              <w:right w:val="single" w:sz="8" w:color="3C3C3C"/>
            </w:tcBorders>
            <w:shd w:val="clear" w:color="auto" w:fill="3C3C3C"/>
          </w:tcPr>
          <w:p>
            <w:pPr>
              <w:spacing w:after="0"/>
              <w:rPr>
                <w:sz w:val="18"/>
                <w:szCs w:val="18"/>
                <w:color w:val="auto"/>
              </w:rPr>
            </w:pPr>
          </w:p>
        </w:tc>
        <w:tc>
          <w:tcPr>
            <w:tcW w:w="1280" w:type="dxa"/>
            <w:vAlign w:val="bottom"/>
            <w:tcBorders>
              <w:right w:val="single" w:sz="8" w:color="3C3C3C"/>
            </w:tcBorders>
            <w:shd w:val="clear" w:color="auto" w:fill="3C3C3C"/>
          </w:tcPr>
          <w:p>
            <w:pPr>
              <w:spacing w:after="0"/>
              <w:rPr>
                <w:sz w:val="18"/>
                <w:szCs w:val="18"/>
                <w:color w:val="auto"/>
              </w:rPr>
            </w:pPr>
          </w:p>
        </w:tc>
        <w:tc>
          <w:tcPr>
            <w:tcW w:w="1040" w:type="dxa"/>
            <w:vAlign w:val="bottom"/>
            <w:shd w:val="clear" w:color="auto" w:fill="3C3C3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840" w:type="dxa"/>
            <w:vAlign w:val="bottom"/>
            <w:tcBorders>
              <w:left w:val="single" w:sz="8" w:color="3C3C3C"/>
              <w:right w:val="single" w:sz="8" w:color="3C3C3C"/>
            </w:tcBorders>
            <w:shd w:val="clear" w:color="auto" w:fill="3C3C3C"/>
          </w:tcPr>
          <w:p>
            <w:pPr>
              <w:spacing w:after="0"/>
              <w:rPr>
                <w:sz w:val="12"/>
                <w:szCs w:val="12"/>
                <w:color w:val="auto"/>
              </w:rPr>
            </w:pPr>
          </w:p>
        </w:tc>
        <w:tc>
          <w:tcPr>
            <w:tcW w:w="700" w:type="dxa"/>
            <w:vAlign w:val="bottom"/>
            <w:shd w:val="clear" w:color="auto" w:fill="3C3C3C"/>
          </w:tcPr>
          <w:p>
            <w:pPr>
              <w:spacing w:after="0"/>
              <w:rPr>
                <w:sz w:val="12"/>
                <w:szCs w:val="12"/>
                <w:color w:val="auto"/>
              </w:rPr>
            </w:pPr>
          </w:p>
        </w:tc>
        <w:tc>
          <w:tcPr>
            <w:tcW w:w="760" w:type="dxa"/>
            <w:vAlign w:val="bottom"/>
            <w:tcBorders>
              <w:right w:val="single" w:sz="8" w:color="3C3C3C"/>
            </w:tcBorders>
            <w:shd w:val="clear" w:color="auto" w:fill="3C3C3C"/>
          </w:tcPr>
          <w:p>
            <w:pPr>
              <w:spacing w:after="0"/>
              <w:rPr>
                <w:sz w:val="12"/>
                <w:szCs w:val="12"/>
                <w:color w:val="auto"/>
              </w:rPr>
            </w:pPr>
          </w:p>
        </w:tc>
        <w:tc>
          <w:tcPr>
            <w:tcW w:w="1320" w:type="dxa"/>
            <w:vAlign w:val="bottom"/>
            <w:tcBorders>
              <w:right w:val="single" w:sz="8" w:color="3C3C3C"/>
            </w:tcBorders>
            <w:shd w:val="clear" w:color="auto" w:fill="3C3C3C"/>
          </w:tcPr>
          <w:p>
            <w:pPr>
              <w:spacing w:after="0"/>
              <w:rPr>
                <w:sz w:val="12"/>
                <w:szCs w:val="12"/>
                <w:color w:val="auto"/>
              </w:rPr>
            </w:pPr>
          </w:p>
        </w:tc>
        <w:tc>
          <w:tcPr>
            <w:tcW w:w="1240" w:type="dxa"/>
            <w:vAlign w:val="bottom"/>
            <w:tcBorders>
              <w:right w:val="single" w:sz="8" w:color="3C3C3C"/>
            </w:tcBorders>
            <w:vMerge w:val="continue"/>
            <w:shd w:val="clear" w:color="auto" w:fill="3C3C3C"/>
          </w:tcPr>
          <w:p>
            <w:pPr>
              <w:spacing w:after="0"/>
              <w:rPr>
                <w:sz w:val="12"/>
                <w:szCs w:val="12"/>
                <w:color w:val="auto"/>
              </w:rPr>
            </w:pPr>
          </w:p>
        </w:tc>
        <w:tc>
          <w:tcPr>
            <w:tcW w:w="1240" w:type="dxa"/>
            <w:vAlign w:val="bottom"/>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7"/>
              </w:rPr>
              <w:t>Average</w:t>
            </w:r>
          </w:p>
        </w:tc>
        <w:tc>
          <w:tcPr>
            <w:tcW w:w="120" w:type="dxa"/>
            <w:vAlign w:val="bottom"/>
            <w:tcBorders>
              <w:right w:val="single" w:sz="8" w:color="3C3C3C"/>
            </w:tcBorders>
            <w:shd w:val="clear" w:color="auto" w:fill="3C3C3C"/>
          </w:tcPr>
          <w:p>
            <w:pPr>
              <w:spacing w:after="0"/>
              <w:rPr>
                <w:sz w:val="12"/>
                <w:szCs w:val="12"/>
                <w:color w:val="auto"/>
              </w:rPr>
            </w:pPr>
          </w:p>
        </w:tc>
        <w:tc>
          <w:tcPr>
            <w:tcW w:w="660" w:type="dxa"/>
            <w:vAlign w:val="bottom"/>
            <w:shd w:val="clear" w:color="auto" w:fill="3C3C3C"/>
          </w:tcPr>
          <w:p>
            <w:pPr>
              <w:spacing w:after="0"/>
              <w:rPr>
                <w:sz w:val="12"/>
                <w:szCs w:val="12"/>
                <w:color w:val="auto"/>
              </w:rPr>
            </w:pPr>
          </w:p>
        </w:tc>
        <w:tc>
          <w:tcPr>
            <w:tcW w:w="1920" w:type="dxa"/>
            <w:vAlign w:val="bottom"/>
            <w:gridSpan w:val="2"/>
            <w:shd w:val="clear" w:color="auto" w:fill="3C3C3C"/>
          </w:tcPr>
          <w:p>
            <w:pPr>
              <w:jc w:val="right"/>
              <w:ind w:right="889"/>
              <w:spacing w:after="0" w:line="144" w:lineRule="exact"/>
              <w:rPr>
                <w:sz w:val="20"/>
                <w:szCs w:val="20"/>
                <w:color w:val="auto"/>
              </w:rPr>
            </w:pPr>
            <w:r>
              <w:rPr>
                <w:rFonts w:ascii="Arial" w:cs="Arial" w:eastAsia="Arial" w:hAnsi="Arial"/>
                <w:sz w:val="14"/>
                <w:szCs w:val="14"/>
                <w:b w:val="1"/>
                <w:bCs w:val="1"/>
                <w:color w:val="FFFFFF"/>
              </w:rPr>
              <w:t>Based On:</w:t>
            </w:r>
          </w:p>
        </w:tc>
        <w:tc>
          <w:tcPr>
            <w:tcW w:w="120" w:type="dxa"/>
            <w:vAlign w:val="bottom"/>
            <w:tcBorders>
              <w:right w:val="single" w:sz="8" w:color="3C3C3C"/>
            </w:tcBorders>
            <w:shd w:val="clear" w:color="auto" w:fill="3C3C3C"/>
          </w:tcPr>
          <w:p>
            <w:pPr>
              <w:spacing w:after="0"/>
              <w:rPr>
                <w:sz w:val="12"/>
                <w:szCs w:val="12"/>
                <w:color w:val="auto"/>
              </w:rPr>
            </w:pPr>
          </w:p>
        </w:tc>
        <w:tc>
          <w:tcPr>
            <w:tcW w:w="1280" w:type="dxa"/>
            <w:vAlign w:val="bottom"/>
            <w:tcBorders>
              <w:right w:val="single" w:sz="8" w:color="3C3C3C"/>
            </w:tcBorders>
            <w:shd w:val="clear" w:color="auto" w:fill="3C3C3C"/>
          </w:tcPr>
          <w:p>
            <w:pPr>
              <w:spacing w:after="0"/>
              <w:rPr>
                <w:sz w:val="12"/>
                <w:szCs w:val="12"/>
                <w:color w:val="auto"/>
              </w:rPr>
            </w:pPr>
          </w:p>
        </w:tc>
        <w:tc>
          <w:tcPr>
            <w:tcW w:w="1040" w:type="dxa"/>
            <w:vAlign w:val="bottom"/>
            <w:shd w:val="clear" w:color="auto" w:fill="3C3C3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840" w:type="dxa"/>
            <w:vAlign w:val="bottom"/>
            <w:tcBorders>
              <w:left w:val="single" w:sz="8" w:color="3C3C3C"/>
              <w:bottom w:val="single" w:sz="8" w:color="3C3C3C"/>
              <w:right w:val="single" w:sz="8" w:color="3C3C3C"/>
            </w:tcBorders>
            <w:shd w:val="clear" w:color="auto" w:fill="3C3C3C"/>
          </w:tcPr>
          <w:p>
            <w:pPr>
              <w:spacing w:after="0"/>
              <w:rPr>
                <w:sz w:val="8"/>
                <w:szCs w:val="8"/>
                <w:color w:val="auto"/>
              </w:rPr>
            </w:pPr>
          </w:p>
        </w:tc>
        <w:tc>
          <w:tcPr>
            <w:tcW w:w="1460" w:type="dxa"/>
            <w:vAlign w:val="bottom"/>
            <w:tcBorders>
              <w:bottom w:val="single" w:sz="8" w:color="3C3C3C"/>
              <w:right w:val="single" w:sz="8" w:color="3C3C3C"/>
            </w:tcBorders>
            <w:gridSpan w:val="2"/>
            <w:vMerge w:val="restart"/>
            <w:shd w:val="clear" w:color="auto" w:fill="3C3C3C"/>
          </w:tcPr>
          <w:p>
            <w:pPr>
              <w:jc w:val="center"/>
              <w:ind w:right="100"/>
              <w:spacing w:after="0"/>
              <w:rPr>
                <w:sz w:val="20"/>
                <w:szCs w:val="20"/>
                <w:color w:val="auto"/>
              </w:rPr>
            </w:pPr>
            <w:r>
              <w:rPr>
                <w:rFonts w:ascii="Arial" w:cs="Arial" w:eastAsia="Arial" w:hAnsi="Arial"/>
                <w:sz w:val="14"/>
                <w:szCs w:val="14"/>
                <w:b w:val="1"/>
                <w:bCs w:val="1"/>
                <w:color w:val="FFFFFF"/>
              </w:rPr>
              <w:t>Summary</w:t>
            </w:r>
          </w:p>
        </w:tc>
        <w:tc>
          <w:tcPr>
            <w:tcW w:w="1320" w:type="dxa"/>
            <w:vAlign w:val="bottom"/>
            <w:tcBorders>
              <w:bottom w:val="single" w:sz="8" w:color="3C3C3C"/>
              <w:right w:val="single" w:sz="8" w:color="3C3C3C"/>
            </w:tcBorders>
            <w:vMerge w:val="restart"/>
            <w:shd w:val="clear" w:color="auto" w:fill="3C3C3C"/>
          </w:tcPr>
          <w:p>
            <w:pPr>
              <w:jc w:val="center"/>
              <w:ind w:right="70"/>
              <w:spacing w:after="0"/>
              <w:rPr>
                <w:sz w:val="20"/>
                <w:szCs w:val="20"/>
                <w:color w:val="auto"/>
              </w:rPr>
            </w:pPr>
            <w:r>
              <w:rPr>
                <w:rFonts w:ascii="Arial" w:cs="Arial" w:eastAsia="Arial" w:hAnsi="Arial"/>
                <w:sz w:val="14"/>
                <w:szCs w:val="14"/>
                <w:b w:val="1"/>
                <w:bCs w:val="1"/>
                <w:color w:val="FFFFFF"/>
              </w:rPr>
              <w:t>Compensation</w:t>
            </w:r>
          </w:p>
        </w:tc>
        <w:tc>
          <w:tcPr>
            <w:tcW w:w="1240" w:type="dxa"/>
            <w:vAlign w:val="bottom"/>
            <w:tcBorders>
              <w:bottom w:val="single" w:sz="8" w:color="3C3C3C"/>
              <w:right w:val="single" w:sz="8" w:color="3C3C3C"/>
            </w:tcBorders>
            <w:vMerge w:val="restart"/>
            <w:shd w:val="clear" w:color="auto" w:fill="3C3C3C"/>
          </w:tcPr>
          <w:p>
            <w:pPr>
              <w:jc w:val="center"/>
              <w:ind w:right="50"/>
              <w:spacing w:after="0"/>
              <w:rPr>
                <w:sz w:val="20"/>
                <w:szCs w:val="20"/>
                <w:color w:val="auto"/>
              </w:rPr>
            </w:pPr>
            <w:r>
              <w:rPr>
                <w:rFonts w:ascii="Arial" w:cs="Arial" w:eastAsia="Arial" w:hAnsi="Arial"/>
                <w:sz w:val="14"/>
                <w:szCs w:val="14"/>
                <w:b w:val="1"/>
                <w:bCs w:val="1"/>
                <w:color w:val="FFFFFF"/>
              </w:rPr>
              <w:t>Summary</w:t>
            </w:r>
          </w:p>
        </w:tc>
        <w:tc>
          <w:tcPr>
            <w:tcW w:w="1240" w:type="dxa"/>
            <w:vAlign w:val="bottom"/>
            <w:tcBorders>
              <w:bottom w:val="single" w:sz="8" w:color="3C3C3C"/>
            </w:tcBorders>
            <w:gridSpan w:val="2"/>
            <w:vMerge w:val="continue"/>
            <w:shd w:val="clear" w:color="auto" w:fill="3C3C3C"/>
          </w:tcPr>
          <w:p>
            <w:pPr>
              <w:spacing w:after="0"/>
              <w:rPr>
                <w:sz w:val="8"/>
                <w:szCs w:val="8"/>
                <w:color w:val="auto"/>
              </w:rPr>
            </w:pPr>
          </w:p>
        </w:tc>
        <w:tc>
          <w:tcPr>
            <w:tcW w:w="120" w:type="dxa"/>
            <w:vAlign w:val="bottom"/>
            <w:tcBorders>
              <w:bottom w:val="single" w:sz="8" w:color="3C3C3C"/>
              <w:right w:val="single" w:sz="8" w:color="3C3C3C"/>
            </w:tcBorders>
            <w:shd w:val="clear" w:color="auto" w:fill="3C3C3C"/>
          </w:tcPr>
          <w:p>
            <w:pPr>
              <w:spacing w:after="0"/>
              <w:rPr>
                <w:sz w:val="8"/>
                <w:szCs w:val="8"/>
                <w:color w:val="auto"/>
              </w:rPr>
            </w:pPr>
          </w:p>
        </w:tc>
        <w:tc>
          <w:tcPr>
            <w:tcW w:w="660" w:type="dxa"/>
            <w:vAlign w:val="bottom"/>
            <w:tcBorders>
              <w:bottom w:val="single" w:sz="8" w:color="3C3C3C"/>
            </w:tcBorders>
            <w:shd w:val="clear" w:color="auto" w:fill="3C3C3C"/>
          </w:tcPr>
          <w:p>
            <w:pPr>
              <w:spacing w:after="0"/>
              <w:rPr>
                <w:sz w:val="8"/>
                <w:szCs w:val="8"/>
                <w:color w:val="auto"/>
              </w:rPr>
            </w:pPr>
          </w:p>
        </w:tc>
        <w:tc>
          <w:tcPr>
            <w:tcW w:w="720" w:type="dxa"/>
            <w:vAlign w:val="bottom"/>
            <w:tcBorders>
              <w:bottom w:val="single" w:sz="8" w:color="3C3C3C"/>
              <w:right w:val="single" w:sz="8" w:color="3C3C3C"/>
            </w:tcBorders>
            <w:shd w:val="clear" w:color="auto" w:fill="3C3C3C"/>
          </w:tcPr>
          <w:p>
            <w:pPr>
              <w:spacing w:after="0"/>
              <w:rPr>
                <w:sz w:val="8"/>
                <w:szCs w:val="8"/>
                <w:color w:val="auto"/>
              </w:rPr>
            </w:pPr>
          </w:p>
        </w:tc>
        <w:tc>
          <w:tcPr>
            <w:tcW w:w="1200" w:type="dxa"/>
            <w:vAlign w:val="bottom"/>
            <w:tcBorders>
              <w:bottom w:val="single" w:sz="8" w:color="3C3C3C"/>
            </w:tcBorders>
            <w:shd w:val="clear" w:color="auto" w:fill="3C3C3C"/>
          </w:tcPr>
          <w:p>
            <w:pPr>
              <w:spacing w:after="0"/>
              <w:rPr>
                <w:sz w:val="8"/>
                <w:szCs w:val="8"/>
                <w:color w:val="auto"/>
              </w:rPr>
            </w:pPr>
          </w:p>
        </w:tc>
        <w:tc>
          <w:tcPr>
            <w:tcW w:w="120" w:type="dxa"/>
            <w:vAlign w:val="bottom"/>
            <w:tcBorders>
              <w:bottom w:val="single" w:sz="8" w:color="3C3C3C"/>
              <w:right w:val="single" w:sz="8" w:color="3C3C3C"/>
            </w:tcBorders>
            <w:shd w:val="clear" w:color="auto" w:fill="3C3C3C"/>
          </w:tcPr>
          <w:p>
            <w:pPr>
              <w:spacing w:after="0"/>
              <w:rPr>
                <w:sz w:val="8"/>
                <w:szCs w:val="8"/>
                <w:color w:val="auto"/>
              </w:rPr>
            </w:pPr>
          </w:p>
        </w:tc>
        <w:tc>
          <w:tcPr>
            <w:tcW w:w="1280" w:type="dxa"/>
            <w:vAlign w:val="bottom"/>
            <w:tcBorders>
              <w:bottom w:val="single" w:sz="8" w:color="3C3C3C"/>
              <w:right w:val="single" w:sz="8" w:color="3C3C3C"/>
            </w:tcBorders>
            <w:shd w:val="clear" w:color="auto" w:fill="3C3C3C"/>
          </w:tcPr>
          <w:p>
            <w:pPr>
              <w:spacing w:after="0"/>
              <w:rPr>
                <w:sz w:val="8"/>
                <w:szCs w:val="8"/>
                <w:color w:val="auto"/>
              </w:rPr>
            </w:pPr>
          </w:p>
        </w:tc>
        <w:tc>
          <w:tcPr>
            <w:tcW w:w="1040" w:type="dxa"/>
            <w:vAlign w:val="bottom"/>
            <w:tcBorders>
              <w:bottom w:val="single" w:sz="8" w:color="3C3C3C"/>
            </w:tcBorders>
            <w:shd w:val="clear" w:color="auto" w:fill="3C3C3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840" w:type="dxa"/>
            <w:vAlign w:val="bottom"/>
            <w:tcBorders>
              <w:top w:val="single" w:sz="8" w:color="3C3C3C"/>
              <w:left w:val="single" w:sz="8" w:color="3C3C3C"/>
              <w:right w:val="single" w:sz="8" w:color="3C3C3C"/>
            </w:tcBorders>
            <w:shd w:val="clear" w:color="auto" w:fill="3C3C3C"/>
          </w:tcPr>
          <w:p>
            <w:pPr>
              <w:spacing w:after="0"/>
              <w:rPr>
                <w:sz w:val="4"/>
                <w:szCs w:val="4"/>
                <w:color w:val="auto"/>
              </w:rPr>
            </w:pPr>
          </w:p>
        </w:tc>
        <w:tc>
          <w:tcPr>
            <w:tcW w:w="1460" w:type="dxa"/>
            <w:vAlign w:val="bottom"/>
            <w:tcBorders>
              <w:top w:val="single" w:sz="8" w:color="3C3C3C"/>
              <w:right w:val="single" w:sz="8" w:color="3C3C3C"/>
            </w:tcBorders>
            <w:gridSpan w:val="2"/>
            <w:vMerge w:val="continue"/>
            <w:shd w:val="clear" w:color="auto" w:fill="3C3C3C"/>
          </w:tcPr>
          <w:p>
            <w:pPr>
              <w:spacing w:after="0"/>
              <w:rPr>
                <w:sz w:val="4"/>
                <w:szCs w:val="4"/>
                <w:color w:val="auto"/>
              </w:rPr>
            </w:pPr>
          </w:p>
        </w:tc>
        <w:tc>
          <w:tcPr>
            <w:tcW w:w="1320" w:type="dxa"/>
            <w:vAlign w:val="bottom"/>
            <w:tcBorders>
              <w:top w:val="single" w:sz="8" w:color="3C3C3C"/>
              <w:right w:val="single" w:sz="8" w:color="3C3C3C"/>
            </w:tcBorders>
            <w:vMerge w:val="continue"/>
            <w:shd w:val="clear" w:color="auto" w:fill="3C3C3C"/>
          </w:tcPr>
          <w:p>
            <w:pPr>
              <w:spacing w:after="0"/>
              <w:rPr>
                <w:sz w:val="4"/>
                <w:szCs w:val="4"/>
                <w:color w:val="auto"/>
              </w:rPr>
            </w:pPr>
          </w:p>
        </w:tc>
        <w:tc>
          <w:tcPr>
            <w:tcW w:w="1240" w:type="dxa"/>
            <w:vAlign w:val="bottom"/>
            <w:tcBorders>
              <w:top w:val="single" w:sz="8" w:color="3C3C3C"/>
              <w:right w:val="single" w:sz="8" w:color="3C3C3C"/>
            </w:tcBorders>
            <w:vMerge w:val="continue"/>
            <w:shd w:val="clear" w:color="auto" w:fill="3C3C3C"/>
          </w:tcPr>
          <w:p>
            <w:pPr>
              <w:spacing w:after="0"/>
              <w:rPr>
                <w:sz w:val="4"/>
                <w:szCs w:val="4"/>
                <w:color w:val="auto"/>
              </w:rPr>
            </w:pPr>
          </w:p>
        </w:tc>
        <w:tc>
          <w:tcPr>
            <w:tcW w:w="1240" w:type="dxa"/>
            <w:vAlign w:val="bottom"/>
            <w:tcBorders>
              <w:top w:val="single" w:sz="8" w:color="3C3C3C"/>
            </w:tcBorders>
            <w:gridSpan w:val="2"/>
            <w:vMerge w:val="restart"/>
            <w:shd w:val="clear" w:color="auto" w:fill="3C3C3C"/>
          </w:tcPr>
          <w:p>
            <w:pPr>
              <w:jc w:val="center"/>
              <w:spacing w:after="0" w:line="127" w:lineRule="exact"/>
              <w:rPr>
                <w:sz w:val="20"/>
                <w:szCs w:val="20"/>
                <w:color w:val="auto"/>
              </w:rPr>
            </w:pPr>
            <w:r>
              <w:rPr>
                <w:rFonts w:ascii="Arial" w:cs="Arial" w:eastAsia="Arial" w:hAnsi="Arial"/>
                <w:sz w:val="14"/>
                <w:szCs w:val="14"/>
                <w:b w:val="1"/>
                <w:bCs w:val="1"/>
                <w:color w:val="FFFFFF"/>
                <w:w w:val="98"/>
              </w:rPr>
              <w:t>Compensation</w:t>
            </w:r>
          </w:p>
        </w:tc>
        <w:tc>
          <w:tcPr>
            <w:tcW w:w="120" w:type="dxa"/>
            <w:vAlign w:val="bottom"/>
            <w:tcBorders>
              <w:top w:val="single" w:sz="8" w:color="3C3C3C"/>
              <w:right w:val="single" w:sz="8" w:color="3C3C3C"/>
            </w:tcBorders>
            <w:shd w:val="clear" w:color="auto" w:fill="3C3C3C"/>
          </w:tcPr>
          <w:p>
            <w:pPr>
              <w:spacing w:after="0"/>
              <w:rPr>
                <w:sz w:val="4"/>
                <w:szCs w:val="4"/>
                <w:color w:val="auto"/>
              </w:rPr>
            </w:pPr>
          </w:p>
        </w:tc>
        <w:tc>
          <w:tcPr>
            <w:tcW w:w="660" w:type="dxa"/>
            <w:vAlign w:val="bottom"/>
            <w:tcBorders>
              <w:top w:val="single" w:sz="8" w:color="B6B6B6"/>
            </w:tcBorders>
            <w:shd w:val="clear" w:color="auto" w:fill="3C3C3C"/>
          </w:tcPr>
          <w:p>
            <w:pPr>
              <w:spacing w:after="0"/>
              <w:rPr>
                <w:sz w:val="4"/>
                <w:szCs w:val="4"/>
                <w:color w:val="auto"/>
              </w:rPr>
            </w:pPr>
          </w:p>
        </w:tc>
        <w:tc>
          <w:tcPr>
            <w:tcW w:w="720" w:type="dxa"/>
            <w:vAlign w:val="bottom"/>
            <w:tcBorders>
              <w:top w:val="single" w:sz="8" w:color="B6B6B6"/>
              <w:right w:val="single" w:sz="8" w:color="3C3C3C"/>
            </w:tcBorders>
            <w:shd w:val="clear" w:color="auto" w:fill="3C3C3C"/>
          </w:tcPr>
          <w:p>
            <w:pPr>
              <w:spacing w:after="0"/>
              <w:rPr>
                <w:sz w:val="4"/>
                <w:szCs w:val="4"/>
                <w:color w:val="auto"/>
              </w:rPr>
            </w:pPr>
          </w:p>
        </w:tc>
        <w:tc>
          <w:tcPr>
            <w:tcW w:w="1200" w:type="dxa"/>
            <w:vAlign w:val="bottom"/>
            <w:tcBorders>
              <w:top w:val="single" w:sz="8" w:color="B6B6B6"/>
            </w:tcBorders>
            <w:shd w:val="clear" w:color="auto" w:fill="3C3C3C"/>
          </w:tcPr>
          <w:p>
            <w:pPr>
              <w:spacing w:after="0"/>
              <w:rPr>
                <w:sz w:val="4"/>
                <w:szCs w:val="4"/>
                <w:color w:val="auto"/>
              </w:rPr>
            </w:pPr>
          </w:p>
        </w:tc>
        <w:tc>
          <w:tcPr>
            <w:tcW w:w="120" w:type="dxa"/>
            <w:vAlign w:val="bottom"/>
            <w:tcBorders>
              <w:top w:val="single" w:sz="8" w:color="3C3C3C"/>
              <w:right w:val="single" w:sz="8" w:color="3C3C3C"/>
            </w:tcBorders>
            <w:shd w:val="clear" w:color="auto" w:fill="3C3C3C"/>
          </w:tcPr>
          <w:p>
            <w:pPr>
              <w:spacing w:after="0"/>
              <w:rPr>
                <w:sz w:val="4"/>
                <w:szCs w:val="4"/>
                <w:color w:val="auto"/>
              </w:rPr>
            </w:pPr>
          </w:p>
        </w:tc>
        <w:tc>
          <w:tcPr>
            <w:tcW w:w="1280" w:type="dxa"/>
            <w:vAlign w:val="bottom"/>
            <w:tcBorders>
              <w:top w:val="single" w:sz="8" w:color="3C3C3C"/>
              <w:right w:val="single" w:sz="8" w:color="3C3C3C"/>
            </w:tcBorders>
            <w:vMerge w:val="restart"/>
            <w:shd w:val="clear" w:color="auto" w:fill="3C3C3C"/>
          </w:tcPr>
          <w:p>
            <w:pPr>
              <w:ind w:left="180"/>
              <w:spacing w:after="0"/>
              <w:rPr>
                <w:sz w:val="20"/>
                <w:szCs w:val="20"/>
                <w:color w:val="auto"/>
              </w:rPr>
            </w:pPr>
            <w:r>
              <w:rPr>
                <w:rFonts w:ascii="Arial" w:cs="Arial" w:eastAsia="Arial" w:hAnsi="Arial"/>
                <w:sz w:val="14"/>
                <w:szCs w:val="14"/>
                <w:b w:val="1"/>
                <w:bCs w:val="1"/>
                <w:color w:val="FFFFFF"/>
              </w:rPr>
              <w:t>Net Income</w:t>
            </w:r>
          </w:p>
        </w:tc>
        <w:tc>
          <w:tcPr>
            <w:tcW w:w="1040" w:type="dxa"/>
            <w:vAlign w:val="bottom"/>
            <w:tcBorders>
              <w:top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Net Revenue</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840" w:type="dxa"/>
            <w:vAlign w:val="bottom"/>
            <w:tcBorders>
              <w:left w:val="single" w:sz="8" w:color="3C3C3C"/>
              <w:right w:val="single" w:sz="8" w:color="3C3C3C"/>
            </w:tcBorders>
            <w:shd w:val="clear" w:color="auto" w:fill="3C3C3C"/>
          </w:tcPr>
          <w:p>
            <w:pPr>
              <w:spacing w:after="0"/>
              <w:rPr>
                <w:sz w:val="6"/>
                <w:szCs w:val="6"/>
                <w:color w:val="auto"/>
              </w:rPr>
            </w:pPr>
          </w:p>
        </w:tc>
        <w:tc>
          <w:tcPr>
            <w:tcW w:w="1460" w:type="dxa"/>
            <w:vAlign w:val="bottom"/>
            <w:tcBorders>
              <w:right w:val="single" w:sz="8" w:color="3C3C3C"/>
            </w:tcBorders>
            <w:gridSpan w:val="2"/>
            <w:vMerge w:val="restart"/>
            <w:shd w:val="clear" w:color="auto" w:fill="3C3C3C"/>
          </w:tcPr>
          <w:p>
            <w:pPr>
              <w:jc w:val="center"/>
              <w:ind w:right="100"/>
              <w:spacing w:after="0" w:line="157" w:lineRule="exact"/>
              <w:rPr>
                <w:sz w:val="20"/>
                <w:szCs w:val="20"/>
                <w:color w:val="auto"/>
              </w:rPr>
            </w:pPr>
            <w:r>
              <w:rPr>
                <w:rFonts w:ascii="Arial" w:cs="Arial" w:eastAsia="Arial" w:hAnsi="Arial"/>
                <w:sz w:val="14"/>
                <w:szCs w:val="14"/>
                <w:b w:val="1"/>
                <w:bCs w:val="1"/>
                <w:color w:val="FFFFFF"/>
                <w:w w:val="98"/>
              </w:rPr>
              <w:t>Compensation</w:t>
            </w:r>
          </w:p>
        </w:tc>
        <w:tc>
          <w:tcPr>
            <w:tcW w:w="1320" w:type="dxa"/>
            <w:vAlign w:val="bottom"/>
            <w:tcBorders>
              <w:right w:val="single" w:sz="8" w:color="3C3C3C"/>
            </w:tcBorders>
            <w:vMerge w:val="restart"/>
            <w:shd w:val="clear" w:color="auto" w:fill="3C3C3C"/>
          </w:tcPr>
          <w:p>
            <w:pPr>
              <w:jc w:val="center"/>
              <w:ind w:right="50"/>
              <w:spacing w:after="0" w:line="157" w:lineRule="exact"/>
              <w:rPr>
                <w:sz w:val="20"/>
                <w:szCs w:val="20"/>
                <w:color w:val="auto"/>
              </w:rPr>
            </w:pPr>
            <w:r>
              <w:rPr>
                <w:rFonts w:ascii="Arial" w:cs="Arial" w:eastAsia="Arial" w:hAnsi="Arial"/>
                <w:sz w:val="14"/>
                <w:szCs w:val="14"/>
                <w:b w:val="1"/>
                <w:bCs w:val="1"/>
                <w:color w:val="FFFFFF"/>
                <w:w w:val="98"/>
              </w:rPr>
              <w:t>Actually Paid to</w:t>
            </w:r>
          </w:p>
        </w:tc>
        <w:tc>
          <w:tcPr>
            <w:tcW w:w="1240" w:type="dxa"/>
            <w:vAlign w:val="bottom"/>
            <w:tcBorders>
              <w:right w:val="single" w:sz="8" w:color="3C3C3C"/>
            </w:tcBorders>
            <w:vMerge w:val="restart"/>
            <w:shd w:val="clear" w:color="auto" w:fill="3C3C3C"/>
          </w:tcPr>
          <w:p>
            <w:pPr>
              <w:jc w:val="center"/>
              <w:ind w:right="70"/>
              <w:spacing w:after="0" w:line="157" w:lineRule="exact"/>
              <w:rPr>
                <w:sz w:val="20"/>
                <w:szCs w:val="20"/>
                <w:color w:val="auto"/>
              </w:rPr>
            </w:pPr>
            <w:r>
              <w:rPr>
                <w:rFonts w:ascii="Arial" w:cs="Arial" w:eastAsia="Arial" w:hAnsi="Arial"/>
                <w:sz w:val="14"/>
                <w:szCs w:val="14"/>
                <w:b w:val="1"/>
                <w:bCs w:val="1"/>
                <w:color w:val="FFFFFF"/>
              </w:rPr>
              <w:t>Compensation</w:t>
            </w:r>
          </w:p>
        </w:tc>
        <w:tc>
          <w:tcPr>
            <w:tcW w:w="1240" w:type="dxa"/>
            <w:vAlign w:val="bottom"/>
            <w:gridSpan w:val="2"/>
            <w:vMerge w:val="continue"/>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660" w:type="dxa"/>
            <w:vAlign w:val="bottom"/>
            <w:shd w:val="clear" w:color="auto" w:fill="3C3C3C"/>
          </w:tcPr>
          <w:p>
            <w:pPr>
              <w:spacing w:after="0"/>
              <w:rPr>
                <w:sz w:val="6"/>
                <w:szCs w:val="6"/>
                <w:color w:val="auto"/>
              </w:rPr>
            </w:pPr>
          </w:p>
        </w:tc>
        <w:tc>
          <w:tcPr>
            <w:tcW w:w="720" w:type="dxa"/>
            <w:vAlign w:val="bottom"/>
            <w:tcBorders>
              <w:right w:val="single" w:sz="8" w:color="3C3C3C"/>
            </w:tcBorders>
            <w:shd w:val="clear" w:color="auto" w:fill="3C3C3C"/>
          </w:tcPr>
          <w:p>
            <w:pPr>
              <w:spacing w:after="0"/>
              <w:rPr>
                <w:sz w:val="6"/>
                <w:szCs w:val="6"/>
                <w:color w:val="auto"/>
              </w:rPr>
            </w:pPr>
          </w:p>
        </w:tc>
        <w:tc>
          <w:tcPr>
            <w:tcW w:w="12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Peer Group Total</w:t>
            </w:r>
          </w:p>
        </w:tc>
        <w:tc>
          <w:tcPr>
            <w:tcW w:w="120" w:type="dxa"/>
            <w:vAlign w:val="bottom"/>
            <w:tcBorders>
              <w:right w:val="single" w:sz="8" w:color="3C3C3C"/>
            </w:tcBorders>
            <w:shd w:val="clear" w:color="auto" w:fill="3C3C3C"/>
          </w:tcPr>
          <w:p>
            <w:pPr>
              <w:spacing w:after="0"/>
              <w:rPr>
                <w:sz w:val="6"/>
                <w:szCs w:val="6"/>
                <w:color w:val="auto"/>
              </w:rPr>
            </w:pPr>
          </w:p>
        </w:tc>
        <w:tc>
          <w:tcPr>
            <w:tcW w:w="1280" w:type="dxa"/>
            <w:vAlign w:val="bottom"/>
            <w:tcBorders>
              <w:right w:val="single" w:sz="8" w:color="3C3C3C"/>
            </w:tcBorders>
            <w:vMerge w:val="continue"/>
            <w:shd w:val="clear" w:color="auto" w:fill="3C3C3C"/>
          </w:tcPr>
          <w:p>
            <w:pPr>
              <w:spacing w:after="0"/>
              <w:rPr>
                <w:sz w:val="6"/>
                <w:szCs w:val="6"/>
                <w:color w:val="auto"/>
              </w:rPr>
            </w:pPr>
          </w:p>
        </w:tc>
        <w:tc>
          <w:tcPr>
            <w:tcW w:w="104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840" w:type="dxa"/>
            <w:vAlign w:val="bottom"/>
            <w:tcBorders>
              <w:left w:val="single" w:sz="8" w:color="3C3C3C"/>
              <w:right w:val="single" w:sz="8" w:color="3C3C3C"/>
            </w:tcBorders>
            <w:vMerge w:val="restart"/>
            <w:shd w:val="clear" w:color="auto" w:fill="3C3C3C"/>
          </w:tcPr>
          <w:p>
            <w:pPr>
              <w:ind w:left="100"/>
              <w:spacing w:after="0" w:line="157" w:lineRule="exact"/>
              <w:rPr>
                <w:sz w:val="20"/>
                <w:szCs w:val="20"/>
                <w:color w:val="auto"/>
              </w:rPr>
            </w:pPr>
            <w:r>
              <w:rPr>
                <w:rFonts w:ascii="Arial" w:cs="Arial" w:eastAsia="Arial" w:hAnsi="Arial"/>
                <w:sz w:val="14"/>
                <w:szCs w:val="14"/>
                <w:b w:val="1"/>
                <w:bCs w:val="1"/>
                <w:color w:val="FFFFFF"/>
              </w:rPr>
              <w:t>Year</w:t>
            </w:r>
          </w:p>
        </w:tc>
        <w:tc>
          <w:tcPr>
            <w:tcW w:w="1460" w:type="dxa"/>
            <w:vAlign w:val="bottom"/>
            <w:tcBorders>
              <w:right w:val="single" w:sz="8" w:color="3C3C3C"/>
            </w:tcBorders>
            <w:gridSpan w:val="2"/>
            <w:vMerge w:val="continue"/>
            <w:shd w:val="clear" w:color="auto" w:fill="3C3C3C"/>
          </w:tcPr>
          <w:p>
            <w:pPr>
              <w:spacing w:after="0"/>
              <w:rPr>
                <w:sz w:val="6"/>
                <w:szCs w:val="6"/>
                <w:color w:val="auto"/>
              </w:rPr>
            </w:pPr>
          </w:p>
        </w:tc>
        <w:tc>
          <w:tcPr>
            <w:tcW w:w="1320" w:type="dxa"/>
            <w:vAlign w:val="bottom"/>
            <w:tcBorders>
              <w:right w:val="single" w:sz="8" w:color="3C3C3C"/>
            </w:tcBorders>
            <w:vMerge w:val="continue"/>
            <w:shd w:val="clear" w:color="auto" w:fill="3C3C3C"/>
          </w:tcPr>
          <w:p>
            <w:pPr>
              <w:spacing w:after="0"/>
              <w:rPr>
                <w:sz w:val="6"/>
                <w:szCs w:val="6"/>
                <w:color w:val="auto"/>
              </w:rPr>
            </w:pPr>
          </w:p>
        </w:tc>
        <w:tc>
          <w:tcPr>
            <w:tcW w:w="1240" w:type="dxa"/>
            <w:vAlign w:val="bottom"/>
            <w:tcBorders>
              <w:right w:val="single" w:sz="8" w:color="3C3C3C"/>
            </w:tcBorders>
            <w:vMerge w:val="continue"/>
            <w:shd w:val="clear" w:color="auto" w:fill="3C3C3C"/>
          </w:tcPr>
          <w:p>
            <w:pPr>
              <w:spacing w:after="0"/>
              <w:rPr>
                <w:sz w:val="6"/>
                <w:szCs w:val="6"/>
                <w:color w:val="auto"/>
              </w:rPr>
            </w:pPr>
          </w:p>
        </w:tc>
        <w:tc>
          <w:tcPr>
            <w:tcW w:w="1240" w:type="dxa"/>
            <w:vAlign w:val="bottom"/>
            <w:gridSpan w:val="2"/>
            <w:vMerge w:val="restart"/>
            <w:shd w:val="clear" w:color="auto" w:fill="3C3C3C"/>
          </w:tcPr>
          <w:p>
            <w:pPr>
              <w:jc w:val="center"/>
              <w:spacing w:after="0" w:line="157" w:lineRule="exact"/>
              <w:rPr>
                <w:sz w:val="20"/>
                <w:szCs w:val="20"/>
                <w:color w:val="auto"/>
              </w:rPr>
            </w:pPr>
            <w:r>
              <w:rPr>
                <w:rFonts w:ascii="Arial" w:cs="Arial" w:eastAsia="Arial" w:hAnsi="Arial"/>
                <w:sz w:val="14"/>
                <w:szCs w:val="14"/>
                <w:b w:val="1"/>
                <w:bCs w:val="1"/>
                <w:color w:val="FFFFFF"/>
                <w:w w:val="98"/>
              </w:rPr>
              <w:t>Actually Paid to</w:t>
            </w:r>
          </w:p>
        </w:tc>
        <w:tc>
          <w:tcPr>
            <w:tcW w:w="120" w:type="dxa"/>
            <w:vAlign w:val="bottom"/>
            <w:tcBorders>
              <w:right w:val="single" w:sz="8" w:color="3C3C3C"/>
            </w:tcBorders>
            <w:shd w:val="clear" w:color="auto" w:fill="3C3C3C"/>
          </w:tcPr>
          <w:p>
            <w:pPr>
              <w:spacing w:after="0"/>
              <w:rPr>
                <w:sz w:val="6"/>
                <w:szCs w:val="6"/>
                <w:color w:val="auto"/>
              </w:rPr>
            </w:pPr>
          </w:p>
        </w:tc>
        <w:tc>
          <w:tcPr>
            <w:tcW w:w="1380" w:type="dxa"/>
            <w:vAlign w:val="bottom"/>
            <w:tcBorders>
              <w:right w:val="single" w:sz="8" w:color="3C3C3C"/>
            </w:tcBorders>
            <w:gridSpan w:val="2"/>
            <w:vMerge w:val="restart"/>
            <w:shd w:val="clear" w:color="auto" w:fill="3C3C3C"/>
          </w:tcPr>
          <w:p>
            <w:pPr>
              <w:jc w:val="center"/>
              <w:ind w:right="68"/>
              <w:spacing w:after="0"/>
              <w:rPr>
                <w:sz w:val="20"/>
                <w:szCs w:val="20"/>
                <w:color w:val="auto"/>
              </w:rPr>
            </w:pPr>
            <w:r>
              <w:rPr>
                <w:rFonts w:ascii="Arial" w:cs="Arial" w:eastAsia="Arial" w:hAnsi="Arial"/>
                <w:sz w:val="14"/>
                <w:szCs w:val="14"/>
                <w:b w:val="1"/>
                <w:bCs w:val="1"/>
                <w:color w:val="FFFFFF"/>
                <w:w w:val="99"/>
              </w:rPr>
              <w:t>Total Shareholder</w:t>
            </w:r>
          </w:p>
        </w:tc>
        <w:tc>
          <w:tcPr>
            <w:tcW w:w="1200" w:type="dxa"/>
            <w:vAlign w:val="bottom"/>
            <w:vMerge w:val="continue"/>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280" w:type="dxa"/>
            <w:vAlign w:val="bottom"/>
            <w:tcBorders>
              <w:right w:val="single" w:sz="8" w:color="3C3C3C"/>
            </w:tcBorders>
            <w:vMerge w:val="continue"/>
            <w:shd w:val="clear" w:color="auto" w:fill="3C3C3C"/>
          </w:tcPr>
          <w:p>
            <w:pPr>
              <w:spacing w:after="0"/>
              <w:rPr>
                <w:sz w:val="6"/>
                <w:szCs w:val="6"/>
                <w:color w:val="auto"/>
              </w:rPr>
            </w:pPr>
          </w:p>
        </w:tc>
        <w:tc>
          <w:tcPr>
            <w:tcW w:w="104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840" w:type="dxa"/>
            <w:vAlign w:val="bottom"/>
            <w:tcBorders>
              <w:left w:val="single" w:sz="8" w:color="3C3C3C"/>
              <w:right w:val="single" w:sz="8" w:color="3C3C3C"/>
            </w:tcBorders>
            <w:vMerge w:val="continue"/>
            <w:shd w:val="clear" w:color="auto" w:fill="3C3C3C"/>
          </w:tcPr>
          <w:p>
            <w:pPr>
              <w:spacing w:after="0"/>
              <w:rPr>
                <w:sz w:val="6"/>
                <w:szCs w:val="6"/>
                <w:color w:val="auto"/>
              </w:rPr>
            </w:pPr>
          </w:p>
        </w:tc>
        <w:tc>
          <w:tcPr>
            <w:tcW w:w="1460" w:type="dxa"/>
            <w:vAlign w:val="bottom"/>
            <w:tcBorders>
              <w:right w:val="single" w:sz="8" w:color="3C3C3C"/>
            </w:tcBorders>
            <w:gridSpan w:val="2"/>
            <w:vMerge w:val="restart"/>
            <w:shd w:val="clear" w:color="auto" w:fill="3C3C3C"/>
          </w:tcPr>
          <w:p>
            <w:pPr>
              <w:jc w:val="center"/>
              <w:ind w:right="100"/>
              <w:spacing w:after="0" w:line="157" w:lineRule="exact"/>
              <w:rPr>
                <w:sz w:val="20"/>
                <w:szCs w:val="20"/>
                <w:color w:val="auto"/>
              </w:rPr>
            </w:pPr>
            <w:r>
              <w:rPr>
                <w:rFonts w:ascii="Arial" w:cs="Arial" w:eastAsia="Arial" w:hAnsi="Arial"/>
                <w:sz w:val="14"/>
                <w:szCs w:val="14"/>
                <w:b w:val="1"/>
                <w:bCs w:val="1"/>
                <w:color w:val="FFFFFF"/>
                <w:w w:val="97"/>
              </w:rPr>
              <w:t>Table Total for CEO</w:t>
            </w:r>
          </w:p>
        </w:tc>
        <w:tc>
          <w:tcPr>
            <w:tcW w:w="1320" w:type="dxa"/>
            <w:vAlign w:val="bottom"/>
            <w:tcBorders>
              <w:right w:val="single" w:sz="8" w:color="3C3C3C"/>
            </w:tcBorders>
            <w:vMerge w:val="restart"/>
            <w:shd w:val="clear" w:color="auto" w:fill="3C3C3C"/>
          </w:tcPr>
          <w:p>
            <w:pPr>
              <w:jc w:val="center"/>
              <w:ind w:right="70"/>
              <w:spacing w:after="0" w:line="157" w:lineRule="exact"/>
              <w:rPr>
                <w:sz w:val="20"/>
                <w:szCs w:val="20"/>
                <w:color w:val="auto"/>
              </w:rPr>
            </w:pPr>
            <w:r>
              <w:rPr>
                <w:rFonts w:ascii="Arial" w:cs="Arial" w:eastAsia="Arial" w:hAnsi="Arial"/>
                <w:sz w:val="14"/>
                <w:szCs w:val="14"/>
                <w:b w:val="1"/>
                <w:bCs w:val="1"/>
                <w:color w:val="FFFFFF"/>
                <w:w w:val="98"/>
              </w:rPr>
              <w:t>CEO</w:t>
            </w:r>
          </w:p>
        </w:tc>
        <w:tc>
          <w:tcPr>
            <w:tcW w:w="1240" w:type="dxa"/>
            <w:vAlign w:val="bottom"/>
            <w:tcBorders>
              <w:right w:val="single" w:sz="8" w:color="3C3C3C"/>
            </w:tcBorders>
            <w:vMerge w:val="restart"/>
            <w:shd w:val="clear" w:color="auto" w:fill="3C3C3C"/>
          </w:tcPr>
          <w:p>
            <w:pPr>
              <w:jc w:val="center"/>
              <w:ind w:right="70"/>
              <w:spacing w:after="0" w:line="157" w:lineRule="exact"/>
              <w:rPr>
                <w:sz w:val="20"/>
                <w:szCs w:val="20"/>
                <w:color w:val="auto"/>
              </w:rPr>
            </w:pPr>
            <w:r>
              <w:rPr>
                <w:rFonts w:ascii="Arial" w:cs="Arial" w:eastAsia="Arial" w:hAnsi="Arial"/>
                <w:sz w:val="14"/>
                <w:szCs w:val="14"/>
                <w:b w:val="1"/>
                <w:bCs w:val="1"/>
                <w:color w:val="FFFFFF"/>
                <w:w w:val="97"/>
              </w:rPr>
              <w:t>Table Total for</w:t>
            </w:r>
          </w:p>
        </w:tc>
        <w:tc>
          <w:tcPr>
            <w:tcW w:w="1240" w:type="dxa"/>
            <w:vAlign w:val="bottom"/>
            <w:gridSpan w:val="2"/>
            <w:vMerge w:val="continue"/>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380" w:type="dxa"/>
            <w:vAlign w:val="bottom"/>
            <w:tcBorders>
              <w:right w:val="single" w:sz="8" w:color="3C3C3C"/>
            </w:tcBorders>
            <w:gridSpan w:val="2"/>
            <w:vMerge w:val="continue"/>
            <w:shd w:val="clear" w:color="auto" w:fill="3C3C3C"/>
          </w:tcPr>
          <w:p>
            <w:pPr>
              <w:spacing w:after="0"/>
              <w:rPr>
                <w:sz w:val="6"/>
                <w:szCs w:val="6"/>
                <w:color w:val="auto"/>
              </w:rPr>
            </w:pPr>
          </w:p>
        </w:tc>
        <w:tc>
          <w:tcPr>
            <w:tcW w:w="1200" w:type="dxa"/>
            <w:vAlign w:val="bottom"/>
            <w:vMerge w:val="continue"/>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280" w:type="dxa"/>
            <w:vAlign w:val="bottom"/>
            <w:tcBorders>
              <w:right w:val="single" w:sz="8" w:color="3C3C3C"/>
            </w:tcBorders>
            <w:vMerge w:val="restart"/>
            <w:shd w:val="clear" w:color="auto" w:fill="3C3C3C"/>
          </w:tcPr>
          <w:p>
            <w:pPr>
              <w:jc w:val="center"/>
              <w:ind w:right="65"/>
              <w:spacing w:after="0" w:line="157" w:lineRule="exact"/>
              <w:rPr>
                <w:sz w:val="20"/>
                <w:szCs w:val="20"/>
                <w:color w:val="auto"/>
              </w:rPr>
            </w:pPr>
            <w:r>
              <w:rPr>
                <w:rFonts w:ascii="Arial" w:cs="Arial" w:eastAsia="Arial" w:hAnsi="Arial"/>
                <w:sz w:val="14"/>
                <w:szCs w:val="14"/>
                <w:b w:val="1"/>
                <w:bCs w:val="1"/>
                <w:color w:val="FFFFFF"/>
                <w:w w:val="99"/>
              </w:rPr>
              <w:t>($ in millions)</w:t>
            </w:r>
          </w:p>
        </w:tc>
        <w:tc>
          <w:tcPr>
            <w:tcW w:w="1040" w:type="dxa"/>
            <w:vAlign w:val="bottom"/>
            <w:vMerge w:val="restart"/>
            <w:shd w:val="clear" w:color="auto" w:fill="3C3C3C"/>
          </w:tcPr>
          <w:p>
            <w:pPr>
              <w:jc w:val="center"/>
              <w:spacing w:after="0" w:line="157" w:lineRule="exact"/>
              <w:rPr>
                <w:sz w:val="20"/>
                <w:szCs w:val="20"/>
                <w:color w:val="auto"/>
              </w:rPr>
            </w:pPr>
            <w:r>
              <w:rPr>
                <w:rFonts w:ascii="Arial" w:cs="Arial" w:eastAsia="Arial" w:hAnsi="Arial"/>
                <w:sz w:val="14"/>
                <w:szCs w:val="14"/>
                <w:b w:val="1"/>
                <w:bCs w:val="1"/>
                <w:color w:val="FFFFFF"/>
                <w:w w:val="99"/>
              </w:rPr>
              <w:t>($ in millions)</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840" w:type="dxa"/>
            <w:vAlign w:val="bottom"/>
            <w:tcBorders>
              <w:left w:val="single" w:sz="8" w:color="3C3C3C"/>
              <w:right w:val="single" w:sz="8" w:color="3C3C3C"/>
            </w:tcBorders>
            <w:shd w:val="clear" w:color="auto" w:fill="3C3C3C"/>
          </w:tcPr>
          <w:p>
            <w:pPr>
              <w:spacing w:after="0"/>
              <w:rPr>
                <w:sz w:val="6"/>
                <w:szCs w:val="6"/>
                <w:color w:val="auto"/>
              </w:rPr>
            </w:pPr>
          </w:p>
        </w:tc>
        <w:tc>
          <w:tcPr>
            <w:tcW w:w="1460" w:type="dxa"/>
            <w:vAlign w:val="bottom"/>
            <w:tcBorders>
              <w:right w:val="single" w:sz="8" w:color="3C3C3C"/>
            </w:tcBorders>
            <w:gridSpan w:val="2"/>
            <w:vMerge w:val="continue"/>
            <w:shd w:val="clear" w:color="auto" w:fill="3C3C3C"/>
          </w:tcPr>
          <w:p>
            <w:pPr>
              <w:spacing w:after="0"/>
              <w:rPr>
                <w:sz w:val="6"/>
                <w:szCs w:val="6"/>
                <w:color w:val="auto"/>
              </w:rPr>
            </w:pPr>
          </w:p>
        </w:tc>
        <w:tc>
          <w:tcPr>
            <w:tcW w:w="1320" w:type="dxa"/>
            <w:vAlign w:val="bottom"/>
            <w:tcBorders>
              <w:right w:val="single" w:sz="8" w:color="3C3C3C"/>
            </w:tcBorders>
            <w:vMerge w:val="continue"/>
            <w:shd w:val="clear" w:color="auto" w:fill="3C3C3C"/>
          </w:tcPr>
          <w:p>
            <w:pPr>
              <w:spacing w:after="0"/>
              <w:rPr>
                <w:sz w:val="6"/>
                <w:szCs w:val="6"/>
                <w:color w:val="auto"/>
              </w:rPr>
            </w:pPr>
          </w:p>
        </w:tc>
        <w:tc>
          <w:tcPr>
            <w:tcW w:w="1240" w:type="dxa"/>
            <w:vAlign w:val="bottom"/>
            <w:tcBorders>
              <w:right w:val="single" w:sz="8" w:color="3C3C3C"/>
            </w:tcBorders>
            <w:vMerge w:val="continue"/>
            <w:shd w:val="clear" w:color="auto" w:fill="3C3C3C"/>
          </w:tcPr>
          <w:p>
            <w:pPr>
              <w:spacing w:after="0"/>
              <w:rPr>
                <w:sz w:val="6"/>
                <w:szCs w:val="6"/>
                <w:color w:val="auto"/>
              </w:rPr>
            </w:pPr>
          </w:p>
        </w:tc>
        <w:tc>
          <w:tcPr>
            <w:tcW w:w="1240" w:type="dxa"/>
            <w:vAlign w:val="bottom"/>
            <w:gridSpan w:val="2"/>
            <w:vMerge w:val="restart"/>
            <w:shd w:val="clear" w:color="auto" w:fill="3C3C3C"/>
          </w:tcPr>
          <w:p>
            <w:pPr>
              <w:jc w:val="center"/>
              <w:spacing w:after="0" w:line="153" w:lineRule="exact"/>
              <w:rPr>
                <w:sz w:val="20"/>
                <w:szCs w:val="20"/>
                <w:color w:val="auto"/>
              </w:rPr>
            </w:pPr>
            <w:r>
              <w:rPr>
                <w:rFonts w:ascii="Arial" w:cs="Arial" w:eastAsia="Arial" w:hAnsi="Arial"/>
                <w:sz w:val="14"/>
                <w:szCs w:val="14"/>
                <w:b w:val="1"/>
                <w:bCs w:val="1"/>
                <w:color w:val="FFFFFF"/>
                <w:w w:val="99"/>
              </w:rPr>
              <w:t>Non-CEO NEOs</w:t>
            </w:r>
          </w:p>
        </w:tc>
        <w:tc>
          <w:tcPr>
            <w:tcW w:w="120" w:type="dxa"/>
            <w:vAlign w:val="bottom"/>
            <w:tcBorders>
              <w:right w:val="single" w:sz="8" w:color="3C3C3C"/>
            </w:tcBorders>
            <w:shd w:val="clear" w:color="auto" w:fill="3C3C3C"/>
          </w:tcPr>
          <w:p>
            <w:pPr>
              <w:spacing w:after="0"/>
              <w:rPr>
                <w:sz w:val="6"/>
                <w:szCs w:val="6"/>
                <w:color w:val="auto"/>
              </w:rPr>
            </w:pPr>
          </w:p>
        </w:tc>
        <w:tc>
          <w:tcPr>
            <w:tcW w:w="1380" w:type="dxa"/>
            <w:vAlign w:val="bottom"/>
            <w:tcBorders>
              <w:right w:val="single" w:sz="8" w:color="3C3C3C"/>
            </w:tcBorders>
            <w:gridSpan w:val="2"/>
            <w:vMerge w:val="continue"/>
            <w:shd w:val="clear" w:color="auto" w:fill="3C3C3C"/>
          </w:tcPr>
          <w:p>
            <w:pPr>
              <w:spacing w:after="0"/>
              <w:rPr>
                <w:sz w:val="6"/>
                <w:szCs w:val="6"/>
                <w:color w:val="auto"/>
              </w:rPr>
            </w:pPr>
          </w:p>
        </w:tc>
        <w:tc>
          <w:tcPr>
            <w:tcW w:w="1200" w:type="dxa"/>
            <w:vAlign w:val="bottom"/>
            <w:vMerge w:val="restart"/>
            <w:shd w:val="clear" w:color="auto" w:fill="3C3C3C"/>
          </w:tcPr>
          <w:p>
            <w:pPr>
              <w:jc w:val="center"/>
              <w:spacing w:after="0" w:line="153" w:lineRule="exact"/>
              <w:rPr>
                <w:sz w:val="20"/>
                <w:szCs w:val="20"/>
                <w:color w:val="auto"/>
              </w:rPr>
            </w:pPr>
            <w:r>
              <w:rPr>
                <w:rFonts w:ascii="Arial" w:cs="Arial" w:eastAsia="Arial" w:hAnsi="Arial"/>
                <w:sz w:val="14"/>
                <w:szCs w:val="14"/>
                <w:b w:val="1"/>
                <w:bCs w:val="1"/>
                <w:color w:val="FFFFFF"/>
              </w:rPr>
              <w:t>Shareholder</w:t>
            </w:r>
          </w:p>
        </w:tc>
        <w:tc>
          <w:tcPr>
            <w:tcW w:w="120" w:type="dxa"/>
            <w:vAlign w:val="bottom"/>
            <w:tcBorders>
              <w:right w:val="single" w:sz="8" w:color="3C3C3C"/>
            </w:tcBorders>
            <w:shd w:val="clear" w:color="auto" w:fill="3C3C3C"/>
          </w:tcPr>
          <w:p>
            <w:pPr>
              <w:spacing w:after="0"/>
              <w:rPr>
                <w:sz w:val="6"/>
                <w:szCs w:val="6"/>
                <w:color w:val="auto"/>
              </w:rPr>
            </w:pPr>
          </w:p>
        </w:tc>
        <w:tc>
          <w:tcPr>
            <w:tcW w:w="1280" w:type="dxa"/>
            <w:vAlign w:val="bottom"/>
            <w:tcBorders>
              <w:right w:val="single" w:sz="8" w:color="3C3C3C"/>
            </w:tcBorders>
            <w:vMerge w:val="continue"/>
            <w:shd w:val="clear" w:color="auto" w:fill="3C3C3C"/>
          </w:tcPr>
          <w:p>
            <w:pPr>
              <w:spacing w:after="0"/>
              <w:rPr>
                <w:sz w:val="6"/>
                <w:szCs w:val="6"/>
                <w:color w:val="auto"/>
              </w:rPr>
            </w:pPr>
          </w:p>
        </w:tc>
        <w:tc>
          <w:tcPr>
            <w:tcW w:w="104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840" w:type="dxa"/>
            <w:vAlign w:val="bottom"/>
            <w:tcBorders>
              <w:left w:val="single" w:sz="8" w:color="3C3C3C"/>
              <w:right w:val="single" w:sz="8" w:color="3C3C3C"/>
            </w:tcBorders>
            <w:shd w:val="clear" w:color="auto" w:fill="3C3C3C"/>
          </w:tcPr>
          <w:p>
            <w:pPr>
              <w:spacing w:after="0"/>
              <w:rPr>
                <w:sz w:val="6"/>
                <w:szCs w:val="6"/>
                <w:color w:val="auto"/>
              </w:rPr>
            </w:pPr>
          </w:p>
        </w:tc>
        <w:tc>
          <w:tcPr>
            <w:tcW w:w="700" w:type="dxa"/>
            <w:vAlign w:val="bottom"/>
            <w:vMerge w:val="restart"/>
            <w:shd w:val="clear" w:color="auto" w:fill="3C3C3C"/>
          </w:tcPr>
          <w:p>
            <w:pPr>
              <w:jc w:val="right"/>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right w:val="single" w:sz="8" w:color="3C3C3C"/>
            </w:tcBorders>
            <w:shd w:val="clear" w:color="auto" w:fill="3C3C3C"/>
          </w:tcPr>
          <w:p>
            <w:pPr>
              <w:jc w:val="right"/>
              <w:ind w:right="620"/>
              <w:spacing w:after="0" w:line="75" w:lineRule="exact"/>
              <w:rPr>
                <w:sz w:val="20"/>
                <w:szCs w:val="20"/>
                <w:color w:val="auto"/>
              </w:rPr>
            </w:pPr>
            <w:r>
              <w:rPr>
                <w:rFonts w:ascii="Arial" w:cs="Arial" w:eastAsia="Arial" w:hAnsi="Arial"/>
                <w:sz w:val="8"/>
                <w:szCs w:val="8"/>
                <w:b w:val="1"/>
                <w:bCs w:val="1"/>
                <w:color w:val="FFFFFF"/>
                <w:w w:val="81"/>
              </w:rPr>
              <w:t>(1)</w:t>
            </w:r>
          </w:p>
        </w:tc>
        <w:tc>
          <w:tcPr>
            <w:tcW w:w="1320" w:type="dxa"/>
            <w:vAlign w:val="bottom"/>
            <w:tcBorders>
              <w:right w:val="single" w:sz="8" w:color="3C3C3C"/>
            </w:tcBorders>
            <w:shd w:val="clear" w:color="auto" w:fill="3C3C3C"/>
          </w:tcPr>
          <w:p>
            <w:pPr>
              <w:jc w:val="right"/>
              <w:ind w:right="510"/>
              <w:spacing w:after="0" w:line="75" w:lineRule="exact"/>
              <w:rPr>
                <w:sz w:val="20"/>
                <w:szCs w:val="20"/>
                <w:color w:val="auto"/>
              </w:rPr>
            </w:pPr>
            <w:r>
              <w:rPr>
                <w:rFonts w:ascii="Arial" w:cs="Arial" w:eastAsia="Arial" w:hAnsi="Arial"/>
                <w:sz w:val="8"/>
                <w:szCs w:val="8"/>
                <w:b w:val="1"/>
                <w:bCs w:val="1"/>
                <w:color w:val="FFFFFF"/>
              </w:rPr>
              <w:t>(2)</w:t>
            </w:r>
          </w:p>
        </w:tc>
        <w:tc>
          <w:tcPr>
            <w:tcW w:w="1240" w:type="dxa"/>
            <w:vAlign w:val="bottom"/>
            <w:tcBorders>
              <w:right w:val="single" w:sz="8" w:color="3C3C3C"/>
            </w:tcBorders>
            <w:vMerge w:val="restart"/>
            <w:shd w:val="clear" w:color="auto" w:fill="3C3C3C"/>
          </w:tcPr>
          <w:p>
            <w:pPr>
              <w:jc w:val="center"/>
              <w:ind w:right="50"/>
              <w:spacing w:after="0"/>
              <w:rPr>
                <w:sz w:val="20"/>
                <w:szCs w:val="20"/>
                <w:color w:val="auto"/>
              </w:rPr>
            </w:pPr>
            <w:r>
              <w:rPr>
                <w:rFonts w:ascii="Arial" w:cs="Arial" w:eastAsia="Arial" w:hAnsi="Arial"/>
                <w:sz w:val="14"/>
                <w:szCs w:val="14"/>
                <w:b w:val="1"/>
                <w:bCs w:val="1"/>
                <w:color w:val="FFFFFF"/>
                <w:w w:val="99"/>
              </w:rPr>
              <w:t>Non-CEO NEOs</w:t>
            </w:r>
          </w:p>
        </w:tc>
        <w:tc>
          <w:tcPr>
            <w:tcW w:w="1240" w:type="dxa"/>
            <w:vAlign w:val="bottom"/>
            <w:gridSpan w:val="2"/>
            <w:vMerge w:val="continue"/>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380" w:type="dxa"/>
            <w:vAlign w:val="bottom"/>
            <w:tcBorders>
              <w:right w:val="single" w:sz="8" w:color="3C3C3C"/>
            </w:tcBorders>
            <w:gridSpan w:val="2"/>
            <w:vMerge w:val="restart"/>
            <w:shd w:val="clear" w:color="auto" w:fill="3C3C3C"/>
          </w:tcPr>
          <w:p>
            <w:pPr>
              <w:jc w:val="center"/>
              <w:ind w:right="68"/>
              <w:spacing w:after="0"/>
              <w:rPr>
                <w:sz w:val="20"/>
                <w:szCs w:val="20"/>
                <w:color w:val="auto"/>
              </w:rPr>
            </w:pPr>
            <w:r>
              <w:rPr>
                <w:rFonts w:ascii="Arial" w:cs="Arial" w:eastAsia="Arial" w:hAnsi="Arial"/>
                <w:sz w:val="14"/>
                <w:szCs w:val="14"/>
                <w:b w:val="1"/>
                <w:bCs w:val="1"/>
                <w:color w:val="FFFFFF"/>
              </w:rPr>
              <w:t>Return</w:t>
            </w:r>
          </w:p>
        </w:tc>
        <w:tc>
          <w:tcPr>
            <w:tcW w:w="1200" w:type="dxa"/>
            <w:vAlign w:val="bottom"/>
            <w:vMerge w:val="continue"/>
            <w:shd w:val="clear" w:color="auto" w:fill="3C3C3C"/>
          </w:tcPr>
          <w:p>
            <w:pPr>
              <w:spacing w:after="0"/>
              <w:rPr>
                <w:sz w:val="6"/>
                <w:szCs w:val="6"/>
                <w:color w:val="auto"/>
              </w:rPr>
            </w:pPr>
          </w:p>
        </w:tc>
        <w:tc>
          <w:tcPr>
            <w:tcW w:w="120" w:type="dxa"/>
            <w:vAlign w:val="bottom"/>
            <w:tcBorders>
              <w:right w:val="single" w:sz="8" w:color="3C3C3C"/>
            </w:tcBorders>
            <w:shd w:val="clear" w:color="auto" w:fill="3C3C3C"/>
          </w:tcPr>
          <w:p>
            <w:pPr>
              <w:spacing w:after="0"/>
              <w:rPr>
                <w:sz w:val="6"/>
                <w:szCs w:val="6"/>
                <w:color w:val="auto"/>
              </w:rPr>
            </w:pPr>
          </w:p>
        </w:tc>
        <w:tc>
          <w:tcPr>
            <w:tcW w:w="1280" w:type="dxa"/>
            <w:vAlign w:val="bottom"/>
            <w:tcBorders>
              <w:right w:val="single" w:sz="8" w:color="3C3C3C"/>
            </w:tcBorders>
            <w:shd w:val="clear" w:color="auto" w:fill="3C3C3C"/>
          </w:tcPr>
          <w:p>
            <w:pPr>
              <w:spacing w:after="0"/>
              <w:rPr>
                <w:sz w:val="6"/>
                <w:szCs w:val="6"/>
                <w:color w:val="auto"/>
              </w:rPr>
            </w:pPr>
          </w:p>
        </w:tc>
        <w:tc>
          <w:tcPr>
            <w:tcW w:w="1040" w:type="dxa"/>
            <w:vAlign w:val="bottom"/>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840" w:type="dxa"/>
            <w:vAlign w:val="bottom"/>
            <w:tcBorders>
              <w:left w:val="single" w:sz="8" w:color="3C3C3C"/>
              <w:right w:val="single" w:sz="8" w:color="3C3C3C"/>
            </w:tcBorders>
            <w:shd w:val="clear" w:color="auto" w:fill="3C3C3C"/>
          </w:tcPr>
          <w:p>
            <w:pPr>
              <w:spacing w:after="0"/>
              <w:rPr>
                <w:sz w:val="10"/>
                <w:szCs w:val="10"/>
                <w:color w:val="auto"/>
              </w:rPr>
            </w:pPr>
          </w:p>
        </w:tc>
        <w:tc>
          <w:tcPr>
            <w:tcW w:w="700" w:type="dxa"/>
            <w:vAlign w:val="bottom"/>
            <w:vMerge w:val="continue"/>
            <w:shd w:val="clear" w:color="auto" w:fill="3C3C3C"/>
          </w:tcPr>
          <w:p>
            <w:pPr>
              <w:spacing w:after="0"/>
              <w:rPr>
                <w:sz w:val="10"/>
                <w:szCs w:val="10"/>
                <w:color w:val="auto"/>
              </w:rPr>
            </w:pPr>
          </w:p>
        </w:tc>
        <w:tc>
          <w:tcPr>
            <w:tcW w:w="760" w:type="dxa"/>
            <w:vAlign w:val="bottom"/>
            <w:tcBorders>
              <w:right w:val="single" w:sz="8" w:color="3C3C3C"/>
            </w:tcBorders>
            <w:shd w:val="clear" w:color="auto" w:fill="3C3C3C"/>
          </w:tcPr>
          <w:p>
            <w:pPr>
              <w:spacing w:after="0"/>
              <w:rPr>
                <w:sz w:val="10"/>
                <w:szCs w:val="10"/>
                <w:color w:val="auto"/>
              </w:rPr>
            </w:pPr>
          </w:p>
        </w:tc>
        <w:tc>
          <w:tcPr>
            <w:tcW w:w="1320" w:type="dxa"/>
            <w:vAlign w:val="bottom"/>
            <w:tcBorders>
              <w:right w:val="single" w:sz="8" w:color="3C3C3C"/>
            </w:tcBorders>
            <w:shd w:val="clear" w:color="auto" w:fill="3C3C3C"/>
          </w:tcPr>
          <w:p>
            <w:pPr>
              <w:jc w:val="right"/>
              <w:ind w:right="630"/>
              <w:spacing w:after="0" w:line="118" w:lineRule="exact"/>
              <w:rPr>
                <w:sz w:val="20"/>
                <w:szCs w:val="20"/>
                <w:color w:val="auto"/>
              </w:rPr>
            </w:pPr>
            <w:r>
              <w:rPr>
                <w:rFonts w:ascii="Arial" w:cs="Arial" w:eastAsia="Arial" w:hAnsi="Arial"/>
                <w:sz w:val="13"/>
                <w:szCs w:val="13"/>
                <w:b w:val="1"/>
                <w:bCs w:val="1"/>
                <w:color w:val="FFFFFF"/>
              </w:rPr>
              <w:t>($)</w:t>
            </w:r>
          </w:p>
        </w:tc>
        <w:tc>
          <w:tcPr>
            <w:tcW w:w="1240" w:type="dxa"/>
            <w:vAlign w:val="bottom"/>
            <w:tcBorders>
              <w:right w:val="single" w:sz="8" w:color="3C3C3C"/>
            </w:tcBorders>
            <w:vMerge w:val="continue"/>
            <w:shd w:val="clear" w:color="auto" w:fill="3C3C3C"/>
          </w:tcPr>
          <w:p>
            <w:pPr>
              <w:spacing w:after="0"/>
              <w:rPr>
                <w:sz w:val="10"/>
                <w:szCs w:val="10"/>
                <w:color w:val="auto"/>
              </w:rPr>
            </w:pPr>
          </w:p>
        </w:tc>
        <w:tc>
          <w:tcPr>
            <w:tcW w:w="640" w:type="dxa"/>
            <w:vAlign w:val="bottom"/>
            <w:vMerge w:val="restart"/>
            <w:shd w:val="clear" w:color="auto" w:fill="3C3C3C"/>
          </w:tcPr>
          <w:p>
            <w:pPr>
              <w:jc w:val="right"/>
              <w:spacing w:after="0"/>
              <w:rPr>
                <w:sz w:val="20"/>
                <w:szCs w:val="20"/>
                <w:color w:val="auto"/>
              </w:rPr>
            </w:pPr>
            <w:r>
              <w:rPr>
                <w:rFonts w:ascii="Arial" w:cs="Arial" w:eastAsia="Arial" w:hAnsi="Arial"/>
                <w:sz w:val="14"/>
                <w:szCs w:val="14"/>
                <w:b w:val="1"/>
                <w:bCs w:val="1"/>
                <w:color w:val="FFFFFF"/>
              </w:rPr>
              <w:t>($)</w:t>
            </w:r>
          </w:p>
        </w:tc>
        <w:tc>
          <w:tcPr>
            <w:tcW w:w="600" w:type="dxa"/>
            <w:vAlign w:val="bottom"/>
            <w:shd w:val="clear" w:color="auto" w:fill="3C3C3C"/>
          </w:tcPr>
          <w:p>
            <w:pPr>
              <w:jc w:val="right"/>
              <w:ind w:right="435"/>
              <w:spacing w:after="0"/>
              <w:rPr>
                <w:sz w:val="20"/>
                <w:szCs w:val="20"/>
                <w:color w:val="auto"/>
              </w:rPr>
            </w:pPr>
            <w:r>
              <w:rPr>
                <w:rFonts w:ascii="Arial" w:cs="Arial" w:eastAsia="Arial" w:hAnsi="Arial"/>
                <w:sz w:val="9"/>
                <w:szCs w:val="9"/>
                <w:b w:val="1"/>
                <w:bCs w:val="1"/>
                <w:color w:val="FFFFFF"/>
                <w:w w:val="90"/>
              </w:rPr>
              <w:t>(4)</w:t>
            </w:r>
          </w:p>
        </w:tc>
        <w:tc>
          <w:tcPr>
            <w:tcW w:w="120" w:type="dxa"/>
            <w:vAlign w:val="bottom"/>
            <w:tcBorders>
              <w:right w:val="single" w:sz="8" w:color="3C3C3C"/>
            </w:tcBorders>
            <w:shd w:val="clear" w:color="auto" w:fill="3C3C3C"/>
          </w:tcPr>
          <w:p>
            <w:pPr>
              <w:spacing w:after="0"/>
              <w:rPr>
                <w:sz w:val="10"/>
                <w:szCs w:val="10"/>
                <w:color w:val="auto"/>
              </w:rPr>
            </w:pPr>
          </w:p>
        </w:tc>
        <w:tc>
          <w:tcPr>
            <w:tcW w:w="1380" w:type="dxa"/>
            <w:vAlign w:val="bottom"/>
            <w:tcBorders>
              <w:right w:val="single" w:sz="8" w:color="3C3C3C"/>
            </w:tcBorders>
            <w:gridSpan w:val="2"/>
            <w:vMerge w:val="continue"/>
            <w:shd w:val="clear" w:color="auto" w:fill="3C3C3C"/>
          </w:tcPr>
          <w:p>
            <w:pPr>
              <w:spacing w:after="0"/>
              <w:rPr>
                <w:sz w:val="10"/>
                <w:szCs w:val="10"/>
                <w:color w:val="auto"/>
              </w:rPr>
            </w:pPr>
          </w:p>
        </w:tc>
        <w:tc>
          <w:tcPr>
            <w:tcW w:w="12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Return</w:t>
            </w:r>
          </w:p>
        </w:tc>
        <w:tc>
          <w:tcPr>
            <w:tcW w:w="120" w:type="dxa"/>
            <w:vAlign w:val="bottom"/>
            <w:tcBorders>
              <w:right w:val="single" w:sz="8" w:color="3C3C3C"/>
            </w:tcBorders>
            <w:shd w:val="clear" w:color="auto" w:fill="3C3C3C"/>
          </w:tcPr>
          <w:p>
            <w:pPr>
              <w:spacing w:after="0"/>
              <w:rPr>
                <w:sz w:val="10"/>
                <w:szCs w:val="10"/>
                <w:color w:val="auto"/>
              </w:rPr>
            </w:pPr>
          </w:p>
        </w:tc>
        <w:tc>
          <w:tcPr>
            <w:tcW w:w="1280" w:type="dxa"/>
            <w:vAlign w:val="bottom"/>
            <w:tcBorders>
              <w:right w:val="single" w:sz="8" w:color="3C3C3C"/>
            </w:tcBorders>
            <w:shd w:val="clear" w:color="auto" w:fill="3C3C3C"/>
          </w:tcPr>
          <w:p>
            <w:pPr>
              <w:spacing w:after="0"/>
              <w:rPr>
                <w:sz w:val="10"/>
                <w:szCs w:val="10"/>
                <w:color w:val="auto"/>
              </w:rPr>
            </w:pPr>
          </w:p>
        </w:tc>
        <w:tc>
          <w:tcPr>
            <w:tcW w:w="1040" w:type="dxa"/>
            <w:vAlign w:val="bottom"/>
            <w:shd w:val="clear" w:color="auto" w:fill="3C3C3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840" w:type="dxa"/>
            <w:vAlign w:val="bottom"/>
            <w:tcBorders>
              <w:left w:val="single" w:sz="8" w:color="3C3C3C"/>
              <w:right w:val="single" w:sz="8" w:color="3C3C3C"/>
            </w:tcBorders>
            <w:shd w:val="clear" w:color="auto" w:fill="3C3C3C"/>
          </w:tcPr>
          <w:p>
            <w:pPr>
              <w:spacing w:after="0"/>
              <w:rPr>
                <w:sz w:val="5"/>
                <w:szCs w:val="5"/>
                <w:color w:val="auto"/>
              </w:rPr>
            </w:pPr>
          </w:p>
        </w:tc>
        <w:tc>
          <w:tcPr>
            <w:tcW w:w="700" w:type="dxa"/>
            <w:vAlign w:val="bottom"/>
            <w:shd w:val="clear" w:color="auto" w:fill="3C3C3C"/>
          </w:tcPr>
          <w:p>
            <w:pPr>
              <w:spacing w:after="0"/>
              <w:rPr>
                <w:sz w:val="5"/>
                <w:szCs w:val="5"/>
                <w:color w:val="auto"/>
              </w:rPr>
            </w:pPr>
          </w:p>
        </w:tc>
        <w:tc>
          <w:tcPr>
            <w:tcW w:w="760" w:type="dxa"/>
            <w:vAlign w:val="bottom"/>
            <w:tcBorders>
              <w:right w:val="single" w:sz="8" w:color="3C3C3C"/>
            </w:tcBorders>
            <w:shd w:val="clear" w:color="auto" w:fill="3C3C3C"/>
          </w:tcPr>
          <w:p>
            <w:pPr>
              <w:spacing w:after="0"/>
              <w:rPr>
                <w:sz w:val="5"/>
                <w:szCs w:val="5"/>
                <w:color w:val="auto"/>
              </w:rPr>
            </w:pPr>
          </w:p>
        </w:tc>
        <w:tc>
          <w:tcPr>
            <w:tcW w:w="1320" w:type="dxa"/>
            <w:vAlign w:val="bottom"/>
            <w:tcBorders>
              <w:right w:val="single" w:sz="8" w:color="3C3C3C"/>
            </w:tcBorders>
            <w:shd w:val="clear" w:color="auto" w:fill="3C3C3C"/>
          </w:tcPr>
          <w:p>
            <w:pPr>
              <w:spacing w:after="0"/>
              <w:rPr>
                <w:sz w:val="5"/>
                <w:szCs w:val="5"/>
                <w:color w:val="auto"/>
              </w:rPr>
            </w:pPr>
          </w:p>
        </w:tc>
        <w:tc>
          <w:tcPr>
            <w:tcW w:w="1240" w:type="dxa"/>
            <w:vAlign w:val="bottom"/>
            <w:tcBorders>
              <w:right w:val="single" w:sz="8" w:color="3C3C3C"/>
            </w:tcBorders>
            <w:shd w:val="clear" w:color="auto" w:fill="3C3C3C"/>
          </w:tcPr>
          <w:p>
            <w:pPr>
              <w:jc w:val="right"/>
              <w:ind w:right="470"/>
              <w:spacing w:after="0" w:line="66" w:lineRule="exact"/>
              <w:rPr>
                <w:sz w:val="20"/>
                <w:szCs w:val="20"/>
                <w:color w:val="auto"/>
              </w:rPr>
            </w:pPr>
            <w:r>
              <w:rPr>
                <w:rFonts w:ascii="Arial" w:cs="Arial" w:eastAsia="Arial" w:hAnsi="Arial"/>
                <w:sz w:val="7"/>
                <w:szCs w:val="7"/>
                <w:b w:val="1"/>
                <w:bCs w:val="1"/>
                <w:color w:val="FFFFFF"/>
              </w:rPr>
              <w:t>(3)</w:t>
            </w:r>
          </w:p>
        </w:tc>
        <w:tc>
          <w:tcPr>
            <w:tcW w:w="640" w:type="dxa"/>
            <w:vAlign w:val="bottom"/>
            <w:vMerge w:val="continue"/>
            <w:shd w:val="clear" w:color="auto" w:fill="3C3C3C"/>
          </w:tcPr>
          <w:p>
            <w:pPr>
              <w:spacing w:after="0"/>
              <w:rPr>
                <w:sz w:val="5"/>
                <w:szCs w:val="5"/>
                <w:color w:val="auto"/>
              </w:rPr>
            </w:pPr>
          </w:p>
        </w:tc>
        <w:tc>
          <w:tcPr>
            <w:tcW w:w="600" w:type="dxa"/>
            <w:vAlign w:val="bottom"/>
            <w:shd w:val="clear" w:color="auto" w:fill="3C3C3C"/>
          </w:tcPr>
          <w:p>
            <w:pPr>
              <w:spacing w:after="0"/>
              <w:rPr>
                <w:sz w:val="5"/>
                <w:szCs w:val="5"/>
                <w:color w:val="auto"/>
              </w:rPr>
            </w:pPr>
          </w:p>
        </w:tc>
        <w:tc>
          <w:tcPr>
            <w:tcW w:w="120" w:type="dxa"/>
            <w:vAlign w:val="bottom"/>
            <w:tcBorders>
              <w:right w:val="single" w:sz="8" w:color="3C3C3C"/>
            </w:tcBorders>
            <w:shd w:val="clear" w:color="auto" w:fill="3C3C3C"/>
          </w:tcPr>
          <w:p>
            <w:pPr>
              <w:spacing w:after="0"/>
              <w:rPr>
                <w:sz w:val="5"/>
                <w:szCs w:val="5"/>
                <w:color w:val="auto"/>
              </w:rPr>
            </w:pPr>
          </w:p>
        </w:tc>
        <w:tc>
          <w:tcPr>
            <w:tcW w:w="660" w:type="dxa"/>
            <w:vAlign w:val="bottom"/>
            <w:vMerge w:val="restart"/>
            <w:shd w:val="clear" w:color="auto" w:fill="3C3C3C"/>
          </w:tcPr>
          <w:p>
            <w:pPr>
              <w:jc w:val="right"/>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right w:val="single" w:sz="8" w:color="3C3C3C"/>
            </w:tcBorders>
            <w:shd w:val="clear" w:color="auto" w:fill="3C3C3C"/>
          </w:tcPr>
          <w:p>
            <w:pPr>
              <w:jc w:val="right"/>
              <w:ind w:right="568"/>
              <w:spacing w:after="0" w:line="66" w:lineRule="exact"/>
              <w:rPr>
                <w:sz w:val="20"/>
                <w:szCs w:val="20"/>
                <w:color w:val="auto"/>
              </w:rPr>
            </w:pPr>
            <w:r>
              <w:rPr>
                <w:rFonts w:ascii="Arial" w:cs="Arial" w:eastAsia="Arial" w:hAnsi="Arial"/>
                <w:sz w:val="7"/>
                <w:szCs w:val="7"/>
                <w:b w:val="1"/>
                <w:bCs w:val="1"/>
                <w:color w:val="FFFFFF"/>
                <w:w w:val="92"/>
              </w:rPr>
              <w:t>(5)</w:t>
            </w:r>
          </w:p>
        </w:tc>
        <w:tc>
          <w:tcPr>
            <w:tcW w:w="1200" w:type="dxa"/>
            <w:vAlign w:val="bottom"/>
            <w:vMerge w:val="continue"/>
            <w:shd w:val="clear" w:color="auto" w:fill="3C3C3C"/>
          </w:tcPr>
          <w:p>
            <w:pPr>
              <w:spacing w:after="0"/>
              <w:rPr>
                <w:sz w:val="5"/>
                <w:szCs w:val="5"/>
                <w:color w:val="auto"/>
              </w:rPr>
            </w:pPr>
          </w:p>
        </w:tc>
        <w:tc>
          <w:tcPr>
            <w:tcW w:w="120" w:type="dxa"/>
            <w:vAlign w:val="bottom"/>
            <w:tcBorders>
              <w:right w:val="single" w:sz="8" w:color="3C3C3C"/>
            </w:tcBorders>
            <w:shd w:val="clear" w:color="auto" w:fill="3C3C3C"/>
          </w:tcPr>
          <w:p>
            <w:pPr>
              <w:spacing w:after="0"/>
              <w:rPr>
                <w:sz w:val="5"/>
                <w:szCs w:val="5"/>
                <w:color w:val="auto"/>
              </w:rPr>
            </w:pPr>
          </w:p>
        </w:tc>
        <w:tc>
          <w:tcPr>
            <w:tcW w:w="1280" w:type="dxa"/>
            <w:vAlign w:val="bottom"/>
            <w:tcBorders>
              <w:right w:val="single" w:sz="8" w:color="3C3C3C"/>
            </w:tcBorders>
            <w:shd w:val="clear" w:color="auto" w:fill="3C3C3C"/>
          </w:tcPr>
          <w:p>
            <w:pPr>
              <w:spacing w:after="0"/>
              <w:rPr>
                <w:sz w:val="5"/>
                <w:szCs w:val="5"/>
                <w:color w:val="auto"/>
              </w:rPr>
            </w:pPr>
          </w:p>
        </w:tc>
        <w:tc>
          <w:tcPr>
            <w:tcW w:w="1040" w:type="dxa"/>
            <w:vAlign w:val="bottom"/>
            <w:shd w:val="clear" w:color="auto" w:fill="3C3C3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840" w:type="dxa"/>
            <w:vAlign w:val="bottom"/>
            <w:tcBorders>
              <w:left w:val="single" w:sz="8" w:color="3C3C3C"/>
              <w:right w:val="single" w:sz="8" w:color="3C3C3C"/>
            </w:tcBorders>
            <w:shd w:val="clear" w:color="auto" w:fill="3C3C3C"/>
          </w:tcPr>
          <w:p>
            <w:pPr>
              <w:spacing w:after="0"/>
              <w:rPr>
                <w:sz w:val="24"/>
                <w:szCs w:val="24"/>
                <w:color w:val="auto"/>
              </w:rPr>
            </w:pPr>
          </w:p>
        </w:tc>
        <w:tc>
          <w:tcPr>
            <w:tcW w:w="700" w:type="dxa"/>
            <w:vAlign w:val="bottom"/>
            <w:shd w:val="clear" w:color="auto" w:fill="3C3C3C"/>
          </w:tcPr>
          <w:p>
            <w:pPr>
              <w:spacing w:after="0"/>
              <w:rPr>
                <w:sz w:val="24"/>
                <w:szCs w:val="24"/>
                <w:color w:val="auto"/>
              </w:rPr>
            </w:pPr>
          </w:p>
        </w:tc>
        <w:tc>
          <w:tcPr>
            <w:tcW w:w="760" w:type="dxa"/>
            <w:vAlign w:val="bottom"/>
            <w:tcBorders>
              <w:right w:val="single" w:sz="8" w:color="3C3C3C"/>
            </w:tcBorders>
            <w:shd w:val="clear" w:color="auto" w:fill="3C3C3C"/>
          </w:tcPr>
          <w:p>
            <w:pPr>
              <w:spacing w:after="0"/>
              <w:rPr>
                <w:sz w:val="24"/>
                <w:szCs w:val="24"/>
                <w:color w:val="auto"/>
              </w:rPr>
            </w:pPr>
          </w:p>
        </w:tc>
        <w:tc>
          <w:tcPr>
            <w:tcW w:w="1320" w:type="dxa"/>
            <w:vAlign w:val="bottom"/>
            <w:tcBorders>
              <w:right w:val="single" w:sz="8" w:color="3C3C3C"/>
            </w:tcBorders>
            <w:shd w:val="clear" w:color="auto" w:fill="3C3C3C"/>
          </w:tcPr>
          <w:p>
            <w:pPr>
              <w:spacing w:after="0"/>
              <w:rPr>
                <w:sz w:val="24"/>
                <w:szCs w:val="24"/>
                <w:color w:val="auto"/>
              </w:rPr>
            </w:pPr>
          </w:p>
        </w:tc>
        <w:tc>
          <w:tcPr>
            <w:tcW w:w="1240" w:type="dxa"/>
            <w:vAlign w:val="bottom"/>
            <w:tcBorders>
              <w:right w:val="single" w:sz="8" w:color="3C3C3C"/>
            </w:tcBorders>
            <w:shd w:val="clear" w:color="auto" w:fill="3C3C3C"/>
          </w:tcPr>
          <w:p>
            <w:pPr>
              <w:jc w:val="right"/>
              <w:ind w:right="590"/>
              <w:spacing w:after="0"/>
              <w:rPr>
                <w:sz w:val="20"/>
                <w:szCs w:val="20"/>
                <w:color w:val="auto"/>
              </w:rPr>
            </w:pPr>
            <w:r>
              <w:rPr>
                <w:rFonts w:ascii="Arial" w:cs="Arial" w:eastAsia="Arial" w:hAnsi="Arial"/>
                <w:sz w:val="14"/>
                <w:szCs w:val="14"/>
                <w:b w:val="1"/>
                <w:bCs w:val="1"/>
                <w:color w:val="FFFFFF"/>
              </w:rPr>
              <w:t>($)</w:t>
            </w:r>
          </w:p>
        </w:tc>
        <w:tc>
          <w:tcPr>
            <w:tcW w:w="640" w:type="dxa"/>
            <w:vAlign w:val="bottom"/>
            <w:shd w:val="clear" w:color="auto" w:fill="3C3C3C"/>
          </w:tcPr>
          <w:p>
            <w:pPr>
              <w:spacing w:after="0"/>
              <w:rPr>
                <w:sz w:val="24"/>
                <w:szCs w:val="24"/>
                <w:color w:val="auto"/>
              </w:rPr>
            </w:pPr>
          </w:p>
        </w:tc>
        <w:tc>
          <w:tcPr>
            <w:tcW w:w="600" w:type="dxa"/>
            <w:vAlign w:val="bottom"/>
            <w:shd w:val="clear" w:color="auto" w:fill="3C3C3C"/>
          </w:tcPr>
          <w:p>
            <w:pPr>
              <w:spacing w:after="0"/>
              <w:rPr>
                <w:sz w:val="24"/>
                <w:szCs w:val="24"/>
                <w:color w:val="auto"/>
              </w:rPr>
            </w:pPr>
          </w:p>
        </w:tc>
        <w:tc>
          <w:tcPr>
            <w:tcW w:w="120" w:type="dxa"/>
            <w:vAlign w:val="bottom"/>
            <w:tcBorders>
              <w:right w:val="single" w:sz="8" w:color="3C3C3C"/>
            </w:tcBorders>
            <w:shd w:val="clear" w:color="auto" w:fill="3C3C3C"/>
          </w:tcPr>
          <w:p>
            <w:pPr>
              <w:spacing w:after="0"/>
              <w:rPr>
                <w:sz w:val="24"/>
                <w:szCs w:val="24"/>
                <w:color w:val="auto"/>
              </w:rPr>
            </w:pPr>
          </w:p>
        </w:tc>
        <w:tc>
          <w:tcPr>
            <w:tcW w:w="660" w:type="dxa"/>
            <w:vAlign w:val="bottom"/>
            <w:vMerge w:val="continue"/>
            <w:shd w:val="clear" w:color="auto" w:fill="3C3C3C"/>
          </w:tcPr>
          <w:p>
            <w:pPr>
              <w:spacing w:after="0"/>
              <w:rPr>
                <w:sz w:val="24"/>
                <w:szCs w:val="24"/>
                <w:color w:val="auto"/>
              </w:rPr>
            </w:pPr>
          </w:p>
        </w:tc>
        <w:tc>
          <w:tcPr>
            <w:tcW w:w="720" w:type="dxa"/>
            <w:vAlign w:val="bottom"/>
            <w:tcBorders>
              <w:right w:val="single" w:sz="8" w:color="3C3C3C"/>
            </w:tcBorders>
            <w:shd w:val="clear" w:color="auto" w:fill="3C3C3C"/>
          </w:tcPr>
          <w:p>
            <w:pPr>
              <w:spacing w:after="0"/>
              <w:rPr>
                <w:sz w:val="24"/>
                <w:szCs w:val="24"/>
                <w:color w:val="auto"/>
              </w:rPr>
            </w:pPr>
          </w:p>
        </w:tc>
        <w:tc>
          <w:tcPr>
            <w:tcW w:w="1200" w:type="dxa"/>
            <w:vAlign w:val="bottom"/>
            <w:shd w:val="clear" w:color="auto" w:fill="3C3C3C"/>
          </w:tcPr>
          <w:p>
            <w:pPr>
              <w:jc w:val="right"/>
              <w:ind w:right="389"/>
              <w:spacing w:after="0" w:line="301"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9"/>
                <w:szCs w:val="9"/>
                <w:b w:val="1"/>
                <w:bCs w:val="1"/>
                <w:color w:val="FFFFFF"/>
              </w:rPr>
              <w:t>(6)</w:t>
            </w:r>
          </w:p>
        </w:tc>
        <w:tc>
          <w:tcPr>
            <w:tcW w:w="120" w:type="dxa"/>
            <w:vAlign w:val="bottom"/>
            <w:tcBorders>
              <w:right w:val="single" w:sz="8" w:color="3C3C3C"/>
            </w:tcBorders>
            <w:shd w:val="clear" w:color="auto" w:fill="3C3C3C"/>
          </w:tcPr>
          <w:p>
            <w:pPr>
              <w:spacing w:after="0"/>
              <w:rPr>
                <w:sz w:val="24"/>
                <w:szCs w:val="24"/>
                <w:color w:val="auto"/>
              </w:rPr>
            </w:pPr>
          </w:p>
        </w:tc>
        <w:tc>
          <w:tcPr>
            <w:tcW w:w="1280" w:type="dxa"/>
            <w:vAlign w:val="bottom"/>
            <w:tcBorders>
              <w:right w:val="single" w:sz="8" w:color="3C3C3C"/>
            </w:tcBorders>
            <w:shd w:val="clear" w:color="auto" w:fill="3C3C3C"/>
          </w:tcPr>
          <w:p>
            <w:pPr>
              <w:spacing w:after="0"/>
              <w:rPr>
                <w:sz w:val="24"/>
                <w:szCs w:val="24"/>
                <w:color w:val="auto"/>
              </w:rPr>
            </w:pPr>
          </w:p>
        </w:tc>
        <w:tc>
          <w:tcPr>
            <w:tcW w:w="1040" w:type="dxa"/>
            <w:vAlign w:val="bottom"/>
            <w:shd w:val="clear" w:color="auto" w:fill="3C3C3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40" w:type="dxa"/>
            <w:vAlign w:val="bottom"/>
            <w:tcBorders>
              <w:left w:val="single" w:sz="8" w:color="B6B6B6"/>
              <w:right w:val="single" w:sz="8" w:color="B6B6B6"/>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right w:val="single" w:sz="8" w:color="B6B6B6"/>
            </w:tcBorders>
            <w:gridSpan w:val="2"/>
            <w:shd w:val="clear" w:color="auto" w:fill="FAF6EF"/>
          </w:tcPr>
          <w:p>
            <w:pPr>
              <w:jc w:val="center"/>
              <w:ind w:right="80"/>
              <w:spacing w:after="0"/>
              <w:rPr>
                <w:sz w:val="20"/>
                <w:szCs w:val="20"/>
                <w:color w:val="auto"/>
              </w:rPr>
            </w:pPr>
            <w:r>
              <w:rPr>
                <w:rFonts w:ascii="Arial" w:cs="Arial" w:eastAsia="Arial" w:hAnsi="Arial"/>
                <w:sz w:val="16"/>
                <w:szCs w:val="16"/>
                <w:color w:val="auto"/>
                <w:w w:val="97"/>
              </w:rPr>
              <w:t>19,527,534</w:t>
            </w:r>
          </w:p>
        </w:tc>
        <w:tc>
          <w:tcPr>
            <w:tcW w:w="1320" w:type="dxa"/>
            <w:vAlign w:val="bottom"/>
            <w:tcBorders>
              <w:right w:val="single" w:sz="8" w:color="B6B6B6"/>
            </w:tcBorders>
            <w:shd w:val="clear" w:color="auto" w:fill="FAF6EF"/>
          </w:tcPr>
          <w:p>
            <w:pPr>
              <w:jc w:val="center"/>
              <w:ind w:right="50"/>
              <w:spacing w:after="0"/>
              <w:rPr>
                <w:sz w:val="20"/>
                <w:szCs w:val="20"/>
                <w:color w:val="auto"/>
              </w:rPr>
            </w:pPr>
            <w:r>
              <w:rPr>
                <w:rFonts w:ascii="Arial" w:cs="Arial" w:eastAsia="Arial" w:hAnsi="Arial"/>
                <w:sz w:val="16"/>
                <w:szCs w:val="16"/>
                <w:color w:val="auto"/>
                <w:w w:val="95"/>
              </w:rPr>
              <w:t>2,544,470</w:t>
            </w:r>
          </w:p>
        </w:tc>
        <w:tc>
          <w:tcPr>
            <w:tcW w:w="1240" w:type="dxa"/>
            <w:vAlign w:val="bottom"/>
            <w:tcBorders>
              <w:right w:val="single" w:sz="8" w:color="B6B6B6"/>
            </w:tcBorders>
            <w:shd w:val="clear" w:color="auto" w:fill="FAF6EF"/>
          </w:tcPr>
          <w:p>
            <w:pPr>
              <w:jc w:val="center"/>
              <w:ind w:right="50"/>
              <w:spacing w:after="0"/>
              <w:rPr>
                <w:sz w:val="20"/>
                <w:szCs w:val="20"/>
                <w:color w:val="auto"/>
              </w:rPr>
            </w:pPr>
            <w:r>
              <w:rPr>
                <w:rFonts w:ascii="Arial" w:cs="Arial" w:eastAsia="Arial" w:hAnsi="Arial"/>
                <w:sz w:val="16"/>
                <w:szCs w:val="16"/>
                <w:color w:val="auto"/>
                <w:w w:val="95"/>
              </w:rPr>
              <w:t>8,903,959</w:t>
            </w:r>
          </w:p>
        </w:tc>
        <w:tc>
          <w:tcPr>
            <w:tcW w:w="1240" w:type="dxa"/>
            <w:vAlign w:val="bottom"/>
            <w:gridSpan w:val="2"/>
            <w:shd w:val="clear" w:color="auto" w:fill="FAF6EF"/>
          </w:tcPr>
          <w:p>
            <w:pPr>
              <w:jc w:val="center"/>
              <w:spacing w:after="0"/>
              <w:rPr>
                <w:sz w:val="20"/>
                <w:szCs w:val="20"/>
                <w:color w:val="auto"/>
              </w:rPr>
            </w:pPr>
            <w:r>
              <w:rPr>
                <w:rFonts w:ascii="Arial" w:cs="Arial" w:eastAsia="Arial" w:hAnsi="Arial"/>
                <w:sz w:val="16"/>
                <w:szCs w:val="16"/>
                <w:color w:val="auto"/>
                <w:w w:val="96"/>
              </w:rPr>
              <w:t>903,495</w:t>
            </w:r>
          </w:p>
        </w:tc>
        <w:tc>
          <w:tcPr>
            <w:tcW w:w="120" w:type="dxa"/>
            <w:vAlign w:val="bottom"/>
            <w:tcBorders>
              <w:right w:val="single" w:sz="8" w:color="B6B6B6"/>
            </w:tcBorders>
            <w:shd w:val="clear" w:color="auto" w:fill="FAF6EF"/>
          </w:tcPr>
          <w:p>
            <w:pPr>
              <w:spacing w:after="0"/>
              <w:rPr>
                <w:sz w:val="20"/>
                <w:szCs w:val="20"/>
                <w:color w:val="auto"/>
              </w:rPr>
            </w:pPr>
          </w:p>
        </w:tc>
        <w:tc>
          <w:tcPr>
            <w:tcW w:w="1380" w:type="dxa"/>
            <w:vAlign w:val="bottom"/>
            <w:tcBorders>
              <w:right w:val="single" w:sz="8" w:color="B6B6B6"/>
            </w:tcBorders>
            <w:gridSpan w:val="2"/>
            <w:shd w:val="clear" w:color="auto" w:fill="FAF6EF"/>
          </w:tcPr>
          <w:p>
            <w:pPr>
              <w:jc w:val="right"/>
              <w:ind w:right="568"/>
              <w:spacing w:after="0"/>
              <w:rPr>
                <w:sz w:val="20"/>
                <w:szCs w:val="20"/>
                <w:color w:val="auto"/>
              </w:rPr>
            </w:pPr>
            <w:r>
              <w:rPr>
                <w:rFonts w:ascii="Arial" w:cs="Arial" w:eastAsia="Arial" w:hAnsi="Arial"/>
                <w:sz w:val="16"/>
                <w:szCs w:val="16"/>
                <w:color w:val="auto"/>
              </w:rPr>
              <w:t>506</w:t>
            </w:r>
          </w:p>
        </w:tc>
        <w:tc>
          <w:tcPr>
            <w:tcW w:w="1200" w:type="dxa"/>
            <w:vAlign w:val="bottom"/>
            <w:shd w:val="clear" w:color="auto" w:fill="FAF6EF"/>
          </w:tcPr>
          <w:p>
            <w:pPr>
              <w:jc w:val="right"/>
              <w:ind w:right="409"/>
              <w:spacing w:after="0"/>
              <w:rPr>
                <w:sz w:val="20"/>
                <w:szCs w:val="20"/>
                <w:color w:val="auto"/>
              </w:rPr>
            </w:pPr>
            <w:r>
              <w:rPr>
                <w:rFonts w:ascii="Arial" w:cs="Arial" w:eastAsia="Arial" w:hAnsi="Arial"/>
                <w:sz w:val="16"/>
                <w:szCs w:val="16"/>
                <w:color w:val="auto"/>
              </w:rPr>
              <w:t>173</w:t>
            </w:r>
          </w:p>
        </w:tc>
        <w:tc>
          <w:tcPr>
            <w:tcW w:w="120" w:type="dxa"/>
            <w:vAlign w:val="bottom"/>
            <w:tcBorders>
              <w:right w:val="single" w:sz="8" w:color="B6B6B6"/>
            </w:tcBorders>
            <w:shd w:val="clear" w:color="auto" w:fill="FAF6EF"/>
          </w:tcPr>
          <w:p>
            <w:pPr>
              <w:spacing w:after="0"/>
              <w:rPr>
                <w:sz w:val="20"/>
                <w:szCs w:val="20"/>
                <w:color w:val="auto"/>
              </w:rPr>
            </w:pPr>
          </w:p>
        </w:tc>
        <w:tc>
          <w:tcPr>
            <w:tcW w:w="1280" w:type="dxa"/>
            <w:vAlign w:val="bottom"/>
            <w:tcBorders>
              <w:right w:val="single" w:sz="8" w:color="B6B6B6"/>
            </w:tcBorders>
            <w:shd w:val="clear" w:color="auto" w:fill="FAF6EF"/>
          </w:tcPr>
          <w:p>
            <w:pPr>
              <w:jc w:val="center"/>
              <w:ind w:right="45"/>
              <w:spacing w:after="0"/>
              <w:rPr>
                <w:sz w:val="20"/>
                <w:szCs w:val="20"/>
                <w:color w:val="auto"/>
              </w:rPr>
            </w:pPr>
            <w:r>
              <w:rPr>
                <w:rFonts w:ascii="Arial" w:cs="Arial" w:eastAsia="Arial" w:hAnsi="Arial"/>
                <w:sz w:val="16"/>
                <w:szCs w:val="16"/>
                <w:color w:val="auto"/>
                <w:w w:val="99"/>
              </w:rPr>
              <w:t>438.9</w:t>
            </w:r>
          </w:p>
        </w:tc>
        <w:tc>
          <w:tcPr>
            <w:tcW w:w="10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7"/>
              </w:rPr>
              <w:t>2,290.8</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40" w:type="dxa"/>
            <w:vAlign w:val="bottom"/>
            <w:tcBorders>
              <w:left w:val="single" w:sz="8" w:color="B6B6B6"/>
              <w:right w:val="single" w:sz="8" w:color="B6B6B6"/>
            </w:tcBorders>
          </w:tcPr>
          <w:p>
            <w:pPr>
              <w:ind w:left="120"/>
              <w:spacing w:after="0"/>
              <w:rPr>
                <w:sz w:val="20"/>
                <w:szCs w:val="20"/>
                <w:color w:val="auto"/>
              </w:rPr>
            </w:pPr>
            <w:r>
              <w:rPr>
                <w:rFonts w:ascii="Arial" w:cs="Arial" w:eastAsia="Arial" w:hAnsi="Arial"/>
                <w:sz w:val="16"/>
                <w:szCs w:val="16"/>
                <w:b w:val="1"/>
                <w:bCs w:val="1"/>
                <w:color w:val="auto"/>
              </w:rPr>
              <w:t>2022</w:t>
            </w:r>
          </w:p>
        </w:tc>
        <w:tc>
          <w:tcPr>
            <w:tcW w:w="1460" w:type="dxa"/>
            <w:vAlign w:val="bottom"/>
            <w:tcBorders>
              <w:right w:val="single" w:sz="8" w:color="B6B6B6"/>
            </w:tcBorders>
            <w:gridSpan w:val="2"/>
          </w:tcPr>
          <w:p>
            <w:pPr>
              <w:jc w:val="center"/>
              <w:ind w:right="80"/>
              <w:spacing w:after="0"/>
              <w:rPr>
                <w:sz w:val="20"/>
                <w:szCs w:val="20"/>
                <w:color w:val="auto"/>
              </w:rPr>
            </w:pPr>
            <w:r>
              <w:rPr>
                <w:rFonts w:ascii="Arial" w:cs="Arial" w:eastAsia="Arial" w:hAnsi="Arial"/>
                <w:sz w:val="16"/>
                <w:szCs w:val="16"/>
                <w:color w:val="auto"/>
                <w:w w:val="97"/>
              </w:rPr>
              <w:t>16,627,977</w:t>
            </w:r>
          </w:p>
        </w:tc>
        <w:tc>
          <w:tcPr>
            <w:tcW w:w="1320" w:type="dxa"/>
            <w:vAlign w:val="bottom"/>
            <w:tcBorders>
              <w:right w:val="single" w:sz="8" w:color="B6B6B6"/>
            </w:tcBorders>
          </w:tcPr>
          <w:p>
            <w:pPr>
              <w:jc w:val="center"/>
              <w:ind w:right="50"/>
              <w:spacing w:after="0"/>
              <w:rPr>
                <w:sz w:val="20"/>
                <w:szCs w:val="20"/>
                <w:color w:val="auto"/>
              </w:rPr>
            </w:pPr>
            <w:r>
              <w:rPr>
                <w:rFonts w:ascii="Arial" w:cs="Arial" w:eastAsia="Arial" w:hAnsi="Arial"/>
                <w:sz w:val="16"/>
                <w:szCs w:val="16"/>
                <w:color w:val="auto"/>
                <w:w w:val="99"/>
              </w:rPr>
              <w:t>22,990,176</w:t>
            </w:r>
          </w:p>
        </w:tc>
        <w:tc>
          <w:tcPr>
            <w:tcW w:w="1240" w:type="dxa"/>
            <w:vAlign w:val="bottom"/>
            <w:tcBorders>
              <w:right w:val="single" w:sz="8" w:color="B6B6B6"/>
            </w:tcBorders>
          </w:tcPr>
          <w:p>
            <w:pPr>
              <w:jc w:val="center"/>
              <w:ind w:right="50"/>
              <w:spacing w:after="0"/>
              <w:rPr>
                <w:sz w:val="20"/>
                <w:szCs w:val="20"/>
                <w:color w:val="auto"/>
              </w:rPr>
            </w:pPr>
            <w:r>
              <w:rPr>
                <w:rFonts w:ascii="Arial" w:cs="Arial" w:eastAsia="Arial" w:hAnsi="Arial"/>
                <w:sz w:val="16"/>
                <w:szCs w:val="16"/>
                <w:color w:val="auto"/>
                <w:w w:val="95"/>
              </w:rPr>
              <w:t>8,146,540</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5"/>
              </w:rPr>
              <w:t>9,419,711</w:t>
            </w:r>
          </w:p>
        </w:tc>
        <w:tc>
          <w:tcPr>
            <w:tcW w:w="120" w:type="dxa"/>
            <w:vAlign w:val="bottom"/>
            <w:tcBorders>
              <w:right w:val="single" w:sz="8" w:color="B6B6B6"/>
            </w:tcBorders>
          </w:tcPr>
          <w:p>
            <w:pPr>
              <w:spacing w:after="0"/>
              <w:rPr>
                <w:sz w:val="20"/>
                <w:szCs w:val="20"/>
                <w:color w:val="auto"/>
              </w:rPr>
            </w:pPr>
          </w:p>
        </w:tc>
        <w:tc>
          <w:tcPr>
            <w:tcW w:w="1380" w:type="dxa"/>
            <w:vAlign w:val="bottom"/>
            <w:tcBorders>
              <w:right w:val="single" w:sz="8" w:color="B6B6B6"/>
            </w:tcBorders>
            <w:gridSpan w:val="2"/>
          </w:tcPr>
          <w:p>
            <w:pPr>
              <w:jc w:val="center"/>
              <w:ind w:right="68"/>
              <w:spacing w:after="0"/>
              <w:rPr>
                <w:sz w:val="20"/>
                <w:szCs w:val="20"/>
                <w:color w:val="auto"/>
              </w:rPr>
            </w:pPr>
            <w:r>
              <w:rPr>
                <w:rFonts w:ascii="Arial" w:cs="Arial" w:eastAsia="Arial" w:hAnsi="Arial"/>
                <w:sz w:val="16"/>
                <w:szCs w:val="16"/>
                <w:color w:val="auto"/>
                <w:w w:val="94"/>
              </w:rPr>
              <w:t>1,014</w:t>
            </w:r>
          </w:p>
        </w:tc>
        <w:tc>
          <w:tcPr>
            <w:tcW w:w="1200" w:type="dxa"/>
            <w:vAlign w:val="bottom"/>
          </w:tcPr>
          <w:p>
            <w:pPr>
              <w:jc w:val="right"/>
              <w:ind w:right="409"/>
              <w:spacing w:after="0"/>
              <w:rPr>
                <w:sz w:val="20"/>
                <w:szCs w:val="20"/>
                <w:color w:val="auto"/>
              </w:rPr>
            </w:pPr>
            <w:r>
              <w:rPr>
                <w:rFonts w:ascii="Arial" w:cs="Arial" w:eastAsia="Arial" w:hAnsi="Arial"/>
                <w:sz w:val="16"/>
                <w:szCs w:val="16"/>
                <w:color w:val="auto"/>
              </w:rPr>
              <w:t>237</w:t>
            </w:r>
          </w:p>
        </w:tc>
        <w:tc>
          <w:tcPr>
            <w:tcW w:w="120" w:type="dxa"/>
            <w:vAlign w:val="bottom"/>
            <w:tcBorders>
              <w:right w:val="single" w:sz="8" w:color="B6B6B6"/>
            </w:tcBorders>
          </w:tcPr>
          <w:p>
            <w:pPr>
              <w:spacing w:after="0"/>
              <w:rPr>
                <w:sz w:val="20"/>
                <w:szCs w:val="20"/>
                <w:color w:val="auto"/>
              </w:rPr>
            </w:pPr>
          </w:p>
        </w:tc>
        <w:tc>
          <w:tcPr>
            <w:tcW w:w="1280" w:type="dxa"/>
            <w:vAlign w:val="bottom"/>
            <w:tcBorders>
              <w:right w:val="single" w:sz="8" w:color="B6B6B6"/>
            </w:tcBorders>
          </w:tcPr>
          <w:p>
            <w:pPr>
              <w:jc w:val="center"/>
              <w:ind w:right="45"/>
              <w:spacing w:after="0"/>
              <w:rPr>
                <w:sz w:val="20"/>
                <w:szCs w:val="20"/>
                <w:color w:val="auto"/>
              </w:rPr>
            </w:pPr>
            <w:r>
              <w:rPr>
                <w:rFonts w:ascii="Arial" w:cs="Arial" w:eastAsia="Arial" w:hAnsi="Arial"/>
                <w:sz w:val="16"/>
                <w:szCs w:val="16"/>
                <w:color w:val="auto"/>
                <w:w w:val="99"/>
              </w:rPr>
              <w:t>397.4</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2,330.9</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40" w:type="dxa"/>
            <w:vAlign w:val="bottom"/>
            <w:tcBorders>
              <w:left w:val="single" w:sz="8" w:color="B6B6B6"/>
              <w:right w:val="single" w:sz="8" w:color="B6B6B6"/>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2021</w:t>
            </w:r>
          </w:p>
        </w:tc>
        <w:tc>
          <w:tcPr>
            <w:tcW w:w="1460" w:type="dxa"/>
            <w:vAlign w:val="bottom"/>
            <w:tcBorders>
              <w:right w:val="single" w:sz="8" w:color="B6B6B6"/>
            </w:tcBorders>
            <w:gridSpan w:val="2"/>
            <w:shd w:val="clear" w:color="auto" w:fill="FAF6EF"/>
          </w:tcPr>
          <w:p>
            <w:pPr>
              <w:jc w:val="center"/>
              <w:ind w:right="80"/>
              <w:spacing w:after="0"/>
              <w:rPr>
                <w:sz w:val="20"/>
                <w:szCs w:val="20"/>
                <w:color w:val="auto"/>
              </w:rPr>
            </w:pPr>
            <w:r>
              <w:rPr>
                <w:rFonts w:ascii="Arial" w:cs="Arial" w:eastAsia="Arial" w:hAnsi="Arial"/>
                <w:sz w:val="16"/>
                <w:szCs w:val="16"/>
                <w:color w:val="auto"/>
                <w:w w:val="97"/>
              </w:rPr>
              <w:t>19,019,162</w:t>
            </w:r>
          </w:p>
        </w:tc>
        <w:tc>
          <w:tcPr>
            <w:tcW w:w="1320" w:type="dxa"/>
            <w:vAlign w:val="bottom"/>
            <w:tcBorders>
              <w:right w:val="single" w:sz="8" w:color="B6B6B6"/>
            </w:tcBorders>
            <w:shd w:val="clear" w:color="auto" w:fill="FAF6EF"/>
          </w:tcPr>
          <w:p>
            <w:pPr>
              <w:jc w:val="center"/>
              <w:ind w:right="50"/>
              <w:spacing w:after="0"/>
              <w:rPr>
                <w:sz w:val="20"/>
                <w:szCs w:val="20"/>
                <w:color w:val="auto"/>
              </w:rPr>
            </w:pPr>
            <w:r>
              <w:rPr>
                <w:rFonts w:ascii="Arial" w:cs="Arial" w:eastAsia="Arial" w:hAnsi="Arial"/>
                <w:sz w:val="16"/>
                <w:szCs w:val="16"/>
                <w:color w:val="auto"/>
                <w:w w:val="99"/>
              </w:rPr>
              <w:t>13,787,093</w:t>
            </w:r>
          </w:p>
        </w:tc>
        <w:tc>
          <w:tcPr>
            <w:tcW w:w="1240" w:type="dxa"/>
            <w:vAlign w:val="bottom"/>
            <w:tcBorders>
              <w:right w:val="single" w:sz="8" w:color="B6B6B6"/>
            </w:tcBorders>
            <w:shd w:val="clear" w:color="auto" w:fill="FAF6EF"/>
          </w:tcPr>
          <w:p>
            <w:pPr>
              <w:jc w:val="center"/>
              <w:ind w:right="50"/>
              <w:spacing w:after="0"/>
              <w:rPr>
                <w:sz w:val="20"/>
                <w:szCs w:val="20"/>
                <w:color w:val="auto"/>
              </w:rPr>
            </w:pPr>
            <w:r>
              <w:rPr>
                <w:rFonts w:ascii="Arial" w:cs="Arial" w:eastAsia="Arial" w:hAnsi="Arial"/>
                <w:sz w:val="16"/>
                <w:szCs w:val="16"/>
                <w:color w:val="auto"/>
                <w:w w:val="95"/>
              </w:rPr>
              <w:t>9,443,797</w:t>
            </w:r>
          </w:p>
        </w:tc>
        <w:tc>
          <w:tcPr>
            <w:tcW w:w="1240" w:type="dxa"/>
            <w:vAlign w:val="bottom"/>
            <w:gridSpan w:val="2"/>
            <w:shd w:val="clear" w:color="auto" w:fill="FAF6EF"/>
          </w:tcPr>
          <w:p>
            <w:pPr>
              <w:jc w:val="center"/>
              <w:spacing w:after="0"/>
              <w:rPr>
                <w:sz w:val="20"/>
                <w:szCs w:val="20"/>
                <w:color w:val="auto"/>
              </w:rPr>
            </w:pPr>
            <w:r>
              <w:rPr>
                <w:rFonts w:ascii="Arial" w:cs="Arial" w:eastAsia="Arial" w:hAnsi="Arial"/>
                <w:sz w:val="16"/>
                <w:szCs w:val="16"/>
                <w:color w:val="auto"/>
                <w:w w:val="95"/>
              </w:rPr>
              <w:t>9,339,538</w:t>
            </w:r>
          </w:p>
        </w:tc>
        <w:tc>
          <w:tcPr>
            <w:tcW w:w="120" w:type="dxa"/>
            <w:vAlign w:val="bottom"/>
            <w:tcBorders>
              <w:right w:val="single" w:sz="8" w:color="B6B6B6"/>
            </w:tcBorders>
            <w:shd w:val="clear" w:color="auto" w:fill="FAF6EF"/>
          </w:tcPr>
          <w:p>
            <w:pPr>
              <w:spacing w:after="0"/>
              <w:rPr>
                <w:sz w:val="20"/>
                <w:szCs w:val="20"/>
                <w:color w:val="auto"/>
              </w:rPr>
            </w:pPr>
          </w:p>
        </w:tc>
        <w:tc>
          <w:tcPr>
            <w:tcW w:w="1380" w:type="dxa"/>
            <w:vAlign w:val="bottom"/>
            <w:tcBorders>
              <w:right w:val="single" w:sz="8" w:color="B6B6B6"/>
            </w:tcBorders>
            <w:gridSpan w:val="2"/>
            <w:shd w:val="clear" w:color="auto" w:fill="FAF6EF"/>
          </w:tcPr>
          <w:p>
            <w:pPr>
              <w:jc w:val="right"/>
              <w:ind w:right="568"/>
              <w:spacing w:after="0"/>
              <w:rPr>
                <w:sz w:val="20"/>
                <w:szCs w:val="20"/>
                <w:color w:val="auto"/>
              </w:rPr>
            </w:pPr>
            <w:r>
              <w:rPr>
                <w:rFonts w:ascii="Arial" w:cs="Arial" w:eastAsia="Arial" w:hAnsi="Arial"/>
                <w:sz w:val="16"/>
                <w:szCs w:val="16"/>
                <w:color w:val="auto"/>
              </w:rPr>
              <w:t>700</w:t>
            </w:r>
          </w:p>
        </w:tc>
        <w:tc>
          <w:tcPr>
            <w:tcW w:w="1200" w:type="dxa"/>
            <w:vAlign w:val="bottom"/>
            <w:shd w:val="clear" w:color="auto" w:fill="FAF6EF"/>
          </w:tcPr>
          <w:p>
            <w:pPr>
              <w:jc w:val="right"/>
              <w:ind w:right="409"/>
              <w:spacing w:after="0"/>
              <w:rPr>
                <w:sz w:val="20"/>
                <w:szCs w:val="20"/>
                <w:color w:val="auto"/>
              </w:rPr>
            </w:pPr>
            <w:r>
              <w:rPr>
                <w:rFonts w:ascii="Arial" w:cs="Arial" w:eastAsia="Arial" w:hAnsi="Arial"/>
                <w:sz w:val="16"/>
                <w:szCs w:val="16"/>
                <w:color w:val="auto"/>
              </w:rPr>
              <w:t>250</w:t>
            </w:r>
          </w:p>
        </w:tc>
        <w:tc>
          <w:tcPr>
            <w:tcW w:w="120" w:type="dxa"/>
            <w:vAlign w:val="bottom"/>
            <w:tcBorders>
              <w:right w:val="single" w:sz="8" w:color="B6B6B6"/>
            </w:tcBorders>
            <w:shd w:val="clear" w:color="auto" w:fill="FAF6EF"/>
          </w:tcPr>
          <w:p>
            <w:pPr>
              <w:spacing w:after="0"/>
              <w:rPr>
                <w:sz w:val="20"/>
                <w:szCs w:val="20"/>
                <w:color w:val="auto"/>
              </w:rPr>
            </w:pPr>
          </w:p>
        </w:tc>
        <w:tc>
          <w:tcPr>
            <w:tcW w:w="1280" w:type="dxa"/>
            <w:vAlign w:val="bottom"/>
            <w:tcBorders>
              <w:right w:val="single" w:sz="8" w:color="B6B6B6"/>
            </w:tcBorders>
            <w:shd w:val="clear" w:color="auto" w:fill="FAF6EF"/>
          </w:tcPr>
          <w:p>
            <w:pPr>
              <w:jc w:val="center"/>
              <w:ind w:right="45"/>
              <w:spacing w:after="0"/>
              <w:rPr>
                <w:sz w:val="20"/>
                <w:szCs w:val="20"/>
                <w:color w:val="auto"/>
              </w:rPr>
            </w:pPr>
            <w:r>
              <w:rPr>
                <w:rFonts w:ascii="Arial" w:cs="Arial" w:eastAsia="Arial" w:hAnsi="Arial"/>
                <w:sz w:val="16"/>
                <w:szCs w:val="16"/>
                <w:color w:val="auto"/>
                <w:w w:val="99"/>
              </w:rPr>
              <w:t>145.4</w:t>
            </w:r>
          </w:p>
        </w:tc>
        <w:tc>
          <w:tcPr>
            <w:tcW w:w="10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7"/>
              </w:rPr>
              <w:t>1,382.0</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40" w:type="dxa"/>
            <w:vAlign w:val="bottom"/>
            <w:tcBorders>
              <w:left w:val="single" w:sz="8" w:color="B6B6B6"/>
              <w:right w:val="single" w:sz="8" w:color="B6B6B6"/>
            </w:tcBorders>
          </w:tcPr>
          <w:p>
            <w:pPr>
              <w:ind w:left="120"/>
              <w:spacing w:after="0"/>
              <w:rPr>
                <w:sz w:val="20"/>
                <w:szCs w:val="20"/>
                <w:color w:val="auto"/>
              </w:rPr>
            </w:pPr>
            <w:r>
              <w:rPr>
                <w:rFonts w:ascii="Arial" w:cs="Arial" w:eastAsia="Arial" w:hAnsi="Arial"/>
                <w:sz w:val="16"/>
                <w:szCs w:val="16"/>
                <w:b w:val="1"/>
                <w:bCs w:val="1"/>
                <w:color w:val="auto"/>
              </w:rPr>
              <w:t>2020</w:t>
            </w:r>
          </w:p>
        </w:tc>
        <w:tc>
          <w:tcPr>
            <w:tcW w:w="1460" w:type="dxa"/>
            <w:vAlign w:val="bottom"/>
            <w:tcBorders>
              <w:right w:val="single" w:sz="8" w:color="B6B6B6"/>
            </w:tcBorders>
            <w:gridSpan w:val="2"/>
          </w:tcPr>
          <w:p>
            <w:pPr>
              <w:jc w:val="center"/>
              <w:ind w:right="80"/>
              <w:spacing w:after="0"/>
              <w:rPr>
                <w:sz w:val="20"/>
                <w:szCs w:val="20"/>
                <w:color w:val="auto"/>
              </w:rPr>
            </w:pPr>
            <w:r>
              <w:rPr>
                <w:rFonts w:ascii="Arial" w:cs="Arial" w:eastAsia="Arial" w:hAnsi="Arial"/>
                <w:sz w:val="16"/>
                <w:szCs w:val="16"/>
                <w:color w:val="auto"/>
                <w:w w:val="98"/>
              </w:rPr>
              <w:t>5,238,605</w:t>
            </w:r>
          </w:p>
        </w:tc>
        <w:tc>
          <w:tcPr>
            <w:tcW w:w="1320" w:type="dxa"/>
            <w:vAlign w:val="bottom"/>
            <w:tcBorders>
              <w:right w:val="single" w:sz="8" w:color="B6B6B6"/>
            </w:tcBorders>
          </w:tcPr>
          <w:p>
            <w:pPr>
              <w:jc w:val="center"/>
              <w:ind w:right="50"/>
              <w:spacing w:after="0"/>
              <w:rPr>
                <w:sz w:val="20"/>
                <w:szCs w:val="20"/>
                <w:color w:val="auto"/>
              </w:rPr>
            </w:pPr>
            <w:r>
              <w:rPr>
                <w:rFonts w:ascii="Arial" w:cs="Arial" w:eastAsia="Arial" w:hAnsi="Arial"/>
                <w:sz w:val="16"/>
                <w:szCs w:val="16"/>
                <w:color w:val="auto"/>
                <w:w w:val="99"/>
              </w:rPr>
              <w:t>90,491,915</w:t>
            </w:r>
          </w:p>
        </w:tc>
        <w:tc>
          <w:tcPr>
            <w:tcW w:w="1240" w:type="dxa"/>
            <w:vAlign w:val="bottom"/>
            <w:tcBorders>
              <w:right w:val="single" w:sz="8" w:color="B6B6B6"/>
            </w:tcBorders>
          </w:tcPr>
          <w:p>
            <w:pPr>
              <w:jc w:val="center"/>
              <w:ind w:right="50"/>
              <w:spacing w:after="0"/>
              <w:rPr>
                <w:sz w:val="20"/>
                <w:szCs w:val="20"/>
                <w:color w:val="auto"/>
              </w:rPr>
            </w:pPr>
            <w:r>
              <w:rPr>
                <w:rFonts w:ascii="Arial" w:cs="Arial" w:eastAsia="Arial" w:hAnsi="Arial"/>
                <w:sz w:val="16"/>
                <w:szCs w:val="16"/>
                <w:color w:val="auto"/>
                <w:w w:val="95"/>
              </w:rPr>
              <w:t>2,406,866</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41,805,393</w:t>
            </w:r>
          </w:p>
        </w:tc>
        <w:tc>
          <w:tcPr>
            <w:tcW w:w="120" w:type="dxa"/>
            <w:vAlign w:val="bottom"/>
            <w:tcBorders>
              <w:right w:val="single" w:sz="8" w:color="B6B6B6"/>
            </w:tcBorders>
          </w:tcPr>
          <w:p>
            <w:pPr>
              <w:spacing w:after="0"/>
              <w:rPr>
                <w:sz w:val="20"/>
                <w:szCs w:val="20"/>
                <w:color w:val="auto"/>
              </w:rPr>
            </w:pPr>
          </w:p>
        </w:tc>
        <w:tc>
          <w:tcPr>
            <w:tcW w:w="1380" w:type="dxa"/>
            <w:vAlign w:val="bottom"/>
            <w:tcBorders>
              <w:right w:val="single" w:sz="8" w:color="B6B6B6"/>
            </w:tcBorders>
            <w:gridSpan w:val="2"/>
          </w:tcPr>
          <w:p>
            <w:pPr>
              <w:jc w:val="right"/>
              <w:ind w:right="568"/>
              <w:spacing w:after="0"/>
              <w:rPr>
                <w:sz w:val="20"/>
                <w:szCs w:val="20"/>
                <w:color w:val="auto"/>
              </w:rPr>
            </w:pPr>
            <w:r>
              <w:rPr>
                <w:rFonts w:ascii="Arial" w:cs="Arial" w:eastAsia="Arial" w:hAnsi="Arial"/>
                <w:sz w:val="16"/>
                <w:szCs w:val="16"/>
                <w:color w:val="auto"/>
              </w:rPr>
              <w:t>672</w:t>
            </w:r>
          </w:p>
        </w:tc>
        <w:tc>
          <w:tcPr>
            <w:tcW w:w="1200" w:type="dxa"/>
            <w:vAlign w:val="bottom"/>
          </w:tcPr>
          <w:p>
            <w:pPr>
              <w:jc w:val="right"/>
              <w:ind w:right="409"/>
              <w:spacing w:after="0"/>
              <w:rPr>
                <w:sz w:val="20"/>
                <w:szCs w:val="20"/>
                <w:color w:val="auto"/>
              </w:rPr>
            </w:pPr>
            <w:r>
              <w:rPr>
                <w:rFonts w:ascii="Arial" w:cs="Arial" w:eastAsia="Arial" w:hAnsi="Arial"/>
                <w:sz w:val="16"/>
                <w:szCs w:val="16"/>
                <w:color w:val="auto"/>
              </w:rPr>
              <w:t>334</w:t>
            </w:r>
          </w:p>
        </w:tc>
        <w:tc>
          <w:tcPr>
            <w:tcW w:w="120" w:type="dxa"/>
            <w:vAlign w:val="bottom"/>
            <w:tcBorders>
              <w:right w:val="single" w:sz="8" w:color="B6B6B6"/>
            </w:tcBorders>
          </w:tcPr>
          <w:p>
            <w:pPr>
              <w:spacing w:after="0"/>
              <w:rPr>
                <w:sz w:val="20"/>
                <w:szCs w:val="20"/>
                <w:color w:val="auto"/>
              </w:rPr>
            </w:pPr>
          </w:p>
        </w:tc>
        <w:tc>
          <w:tcPr>
            <w:tcW w:w="1280" w:type="dxa"/>
            <w:vAlign w:val="bottom"/>
            <w:tcBorders>
              <w:right w:val="single" w:sz="8" w:color="B6B6B6"/>
            </w:tcBorders>
          </w:tcPr>
          <w:p>
            <w:pPr>
              <w:jc w:val="center"/>
              <w:ind w:right="45"/>
              <w:spacing w:after="0"/>
              <w:rPr>
                <w:sz w:val="20"/>
                <w:szCs w:val="20"/>
                <w:color w:val="auto"/>
              </w:rPr>
            </w:pPr>
            <w:r>
              <w:rPr>
                <w:rFonts w:ascii="Arial" w:cs="Arial" w:eastAsia="Arial" w:hAnsi="Arial"/>
                <w:sz w:val="16"/>
                <w:szCs w:val="16"/>
                <w:color w:val="auto"/>
                <w:w w:val="99"/>
              </w:rPr>
              <w:t>134.0</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774.4</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ind w:left="240" w:right="20" w:hanging="235"/>
        <w:spacing w:after="0" w:line="287" w:lineRule="auto"/>
        <w:tabs>
          <w:tab w:leader="none" w:pos="226" w:val="left"/>
        </w:tabs>
        <w:numPr>
          <w:ilvl w:val="0"/>
          <w:numId w:val="84"/>
        </w:numPr>
        <w:rPr>
          <w:rFonts w:ascii="Arial" w:cs="Arial" w:eastAsia="Arial" w:hAnsi="Arial"/>
          <w:sz w:val="14"/>
          <w:szCs w:val="14"/>
          <w:color w:val="7D7D7D"/>
        </w:rPr>
      </w:pPr>
      <w:r>
        <w:rPr>
          <w:rFonts w:ascii="Arial" w:cs="Arial" w:eastAsia="Arial" w:hAnsi="Arial"/>
          <w:sz w:val="14"/>
          <w:szCs w:val="14"/>
          <w:color w:val="7D7D7D"/>
        </w:rPr>
        <w:t>The dollar amounts reported in this column are the amounts of total compensation reported for our CEO, Badri Kothandaraman in the Summary Compensation Table for fiscal years 2023, 2022, 2021 and 2020. Mr. Kothandaraman served as CEO for each of the years presented.</w:t>
      </w:r>
    </w:p>
    <w:p>
      <w:pPr>
        <w:spacing w:after="0" w:line="7" w:lineRule="exact"/>
        <w:rPr>
          <w:sz w:val="20"/>
          <w:szCs w:val="20"/>
          <w:color w:val="auto"/>
        </w:rPr>
      </w:pPr>
    </w:p>
    <w:p>
      <w:pPr>
        <w:jc w:val="both"/>
        <w:ind w:left="240" w:right="20" w:hanging="235"/>
        <w:spacing w:after="0" w:line="258" w:lineRule="auto"/>
        <w:tabs>
          <w:tab w:leader="none" w:pos="226" w:val="left"/>
        </w:tabs>
        <w:numPr>
          <w:ilvl w:val="0"/>
          <w:numId w:val="85"/>
        </w:numPr>
        <w:rPr>
          <w:rFonts w:ascii="Arial" w:cs="Arial" w:eastAsia="Arial" w:hAnsi="Arial"/>
          <w:sz w:val="14"/>
          <w:szCs w:val="14"/>
          <w:color w:val="7D7D7D"/>
        </w:rPr>
      </w:pPr>
      <w:r>
        <w:rPr>
          <w:rFonts w:ascii="Arial" w:cs="Arial" w:eastAsia="Arial" w:hAnsi="Arial"/>
          <w:sz w:val="14"/>
          <w:szCs w:val="14"/>
          <w:color w:val="7D7D7D"/>
        </w:rPr>
        <w:t>“Compensation actually paid” to our CEO in each of 2023, 2022, 2021 and 2020 reflects the respective amounts set forth in this column of the table above, adjusted as set forth in the table below, as determined in accordance with SEC rules. The dollar amounts reflected in the table above do not reflect the actual amount of compensation earned by or paid to our CEO during the applicable year. For information regarding the decisions made by the Compensation Committee in regards to the CEO’s compensation for each fiscal year, please see the Compensation Discussion and Analysis section of the proxy statements reporting pay for the fiscal years covered in the table above.</w:t>
      </w:r>
    </w:p>
    <w:p>
      <w:pPr>
        <w:spacing w:after="0" w:line="26" w:lineRule="exact"/>
        <w:rPr>
          <w:sz w:val="20"/>
          <w:szCs w:val="20"/>
          <w:color w:val="auto"/>
        </w:rPr>
      </w:pPr>
    </w:p>
    <w:p>
      <w:pPr>
        <w:ind w:left="220" w:hanging="215"/>
        <w:spacing w:after="0"/>
        <w:tabs>
          <w:tab w:leader="none" w:pos="220" w:val="left"/>
        </w:tabs>
        <w:numPr>
          <w:ilvl w:val="0"/>
          <w:numId w:val="86"/>
        </w:numPr>
        <w:rPr>
          <w:rFonts w:ascii="Arial" w:cs="Arial" w:eastAsia="Arial" w:hAnsi="Arial"/>
          <w:sz w:val="14"/>
          <w:szCs w:val="14"/>
          <w:color w:val="7D7D7D"/>
        </w:rPr>
      </w:pPr>
      <w:r>
        <w:rPr>
          <w:rFonts w:ascii="Arial" w:cs="Arial" w:eastAsia="Arial" w:hAnsi="Arial"/>
          <w:sz w:val="14"/>
          <w:szCs w:val="14"/>
          <w:color w:val="7D7D7D"/>
        </w:rPr>
        <w:t>The dollar amounts reported in this column are the average amounts of total compensation reported for our NEOs as a group, other than our CEO in the Summary Compensation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3"/>
          <w:szCs w:val="13"/>
          <w:color w:val="7D7D7D"/>
        </w:rPr>
        <w:t>Table for the applicable fiscal years. The names of the NEOs (excluding our CEO) included for purposes of calculating the average amounts in each applicable year are as follows:</w:t>
      </w:r>
    </w:p>
    <w:p>
      <w:pPr>
        <w:spacing w:after="0" w:line="7" w:lineRule="exact"/>
        <w:rPr>
          <w:sz w:val="20"/>
          <w:szCs w:val="20"/>
          <w:color w:val="auto"/>
        </w:rPr>
      </w:pPr>
    </w:p>
    <w:p>
      <w:pPr>
        <w:ind w:left="240" w:right="20"/>
        <w:spacing w:after="0" w:line="266" w:lineRule="auto"/>
        <w:tabs>
          <w:tab w:leader="none" w:pos="404" w:val="left"/>
        </w:tabs>
        <w:numPr>
          <w:ilvl w:val="0"/>
          <w:numId w:val="87"/>
        </w:numPr>
        <w:rPr>
          <w:rFonts w:ascii="Arial" w:cs="Arial" w:eastAsia="Arial" w:hAnsi="Arial"/>
          <w:sz w:val="14"/>
          <w:szCs w:val="14"/>
          <w:color w:val="7D7D7D"/>
        </w:rPr>
      </w:pPr>
      <w:r>
        <w:rPr>
          <w:rFonts w:ascii="Arial" w:cs="Arial" w:eastAsia="Arial" w:hAnsi="Arial"/>
          <w:sz w:val="14"/>
          <w:szCs w:val="14"/>
          <w:color w:val="7D7D7D"/>
        </w:rPr>
        <w:t>for 2023 Ms. Yang, Mr. Ranhoff and Mr. McNeil; (ii) for 2022 Ms. Yang, Mr. Branderiz, Mr. McNeil and Mr. Ranhoff; and (iii) for 2021 and 2020 Mr. Branderiz, Mr. McNeil and Mr. Ranhoff.</w:t>
      </w:r>
    </w:p>
    <w:p>
      <w:pPr>
        <w:spacing w:after="0" w:line="21" w:lineRule="exact"/>
        <w:rPr>
          <w:sz w:val="20"/>
          <w:szCs w:val="20"/>
          <w:color w:val="auto"/>
        </w:rPr>
      </w:pPr>
    </w:p>
    <w:p>
      <w:pPr>
        <w:jc w:val="both"/>
        <w:ind w:left="240" w:right="20" w:hanging="235"/>
        <w:spacing w:after="0" w:line="256" w:lineRule="auto"/>
        <w:tabs>
          <w:tab w:leader="none" w:pos="226" w:val="left"/>
        </w:tabs>
        <w:numPr>
          <w:ilvl w:val="0"/>
          <w:numId w:val="88"/>
        </w:numPr>
        <w:rPr>
          <w:rFonts w:ascii="Arial" w:cs="Arial" w:eastAsia="Arial" w:hAnsi="Arial"/>
          <w:sz w:val="14"/>
          <w:szCs w:val="14"/>
          <w:color w:val="7D7D7D"/>
        </w:rPr>
      </w:pPr>
      <w:r>
        <w:rPr>
          <w:rFonts w:ascii="Arial" w:cs="Arial" w:eastAsia="Arial" w:hAnsi="Arial"/>
          <w:sz w:val="14"/>
          <w:szCs w:val="14"/>
          <w:color w:val="7D7D7D"/>
        </w:rPr>
        <w:t>Average “compensation actually paid” for our non-CEO NEOs in each of 2023, 2022, 2021 and 2020 reflects the respective amounts set forth in this column of the table above, adjusted as set forth in the table below, as determined in accordance with SEC rules. The dollar amounts reflected in the table above do not reflect the actual amount of compensation earned by or paid to our non-CEO NEOs during the applicable year. For information regarding the decisions made by the Compensation Committee in regards to the non-CEO NEOs’ compensation for each fiscal year, please the Compensation Discussion and Analysis section of the proxy statements reporting pay for the fiscal years covered in the table above.</w:t>
      </w:r>
    </w:p>
    <w:p>
      <w:pPr>
        <w:spacing w:after="0" w:line="30" w:lineRule="exact"/>
        <w:rPr>
          <w:rFonts w:ascii="Arial" w:cs="Arial" w:eastAsia="Arial" w:hAnsi="Arial"/>
          <w:sz w:val="14"/>
          <w:szCs w:val="14"/>
          <w:color w:val="7D7D7D"/>
        </w:rPr>
      </w:pPr>
    </w:p>
    <w:p>
      <w:pPr>
        <w:jc w:val="both"/>
        <w:ind w:left="240" w:right="20"/>
        <w:spacing w:after="0" w:line="256" w:lineRule="auto"/>
        <w:rPr>
          <w:rFonts w:ascii="Arial" w:cs="Arial" w:eastAsia="Arial" w:hAnsi="Arial"/>
          <w:sz w:val="14"/>
          <w:szCs w:val="14"/>
          <w:color w:val="7D7D7D"/>
        </w:rPr>
      </w:pPr>
      <w:r>
        <w:rPr>
          <w:rFonts w:ascii="Arial" w:cs="Arial" w:eastAsia="Arial" w:hAnsi="Arial"/>
          <w:sz w:val="14"/>
          <w:szCs w:val="14"/>
          <w:color w:val="7D7D7D"/>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PSU grant date fair values are calculated using the stock price as of date of grant assuming target performance. Adjustments have been made using the performance modifier as of year end and as of the date of vest. Time-based restricted stock unit grant date fair values are calculated using the stock price as of date of grant. Adjustments have been made using the stock price as of year end and as of each date of vest. The valuation assumptions used to calculate fair values did not materially differ from those disclosed as of the grant date of the equity awards.</w:t>
      </w:r>
    </w:p>
    <w:p>
      <w:pPr>
        <w:spacing w:after="0" w:line="28" w:lineRule="exact"/>
        <w:rPr>
          <w:sz w:val="20"/>
          <w:szCs w:val="20"/>
          <w:color w:val="auto"/>
        </w:rPr>
      </w:pPr>
    </w:p>
    <w:p>
      <w:pPr>
        <w:jc w:val="both"/>
        <w:ind w:left="240" w:right="20" w:hanging="235"/>
        <w:spacing w:after="0" w:line="258" w:lineRule="auto"/>
        <w:tabs>
          <w:tab w:leader="none" w:pos="226" w:val="left"/>
        </w:tabs>
        <w:numPr>
          <w:ilvl w:val="0"/>
          <w:numId w:val="89"/>
        </w:numPr>
        <w:rPr>
          <w:rFonts w:ascii="Arial" w:cs="Arial" w:eastAsia="Arial" w:hAnsi="Arial"/>
          <w:sz w:val="14"/>
          <w:szCs w:val="14"/>
          <w:color w:val="7D7D7D"/>
        </w:rPr>
      </w:pPr>
      <w:r>
        <w:rPr>
          <w:rFonts w:ascii="Arial" w:cs="Arial" w:eastAsia="Arial" w:hAnsi="Arial"/>
          <w:sz w:val="14"/>
          <w:szCs w:val="14"/>
          <w:color w:val="7D7D7D"/>
        </w:rPr>
        <w:t>For the relevant fiscal year, represents our TSR for the measurement periods ended on December 31 of 2023, 2022, 2021 and 2020 respectively. An investment of $100 is assumed to have been made in our common stock on December 31, 2019 all dividends were reinvested, and the performance of the investment is tracked through December 31, 2023. The information shown is historical, and stockholder returns over the indicated period should not be considered indicative of future stockholder returns or future performance.</w:t>
      </w:r>
    </w:p>
    <w:p>
      <w:pPr>
        <w:spacing w:after="0" w:line="26" w:lineRule="exact"/>
        <w:rPr>
          <w:sz w:val="20"/>
          <w:szCs w:val="20"/>
          <w:color w:val="auto"/>
        </w:rPr>
      </w:pPr>
    </w:p>
    <w:p>
      <w:pPr>
        <w:jc w:val="both"/>
        <w:ind w:left="240" w:right="20" w:hanging="235"/>
        <w:spacing w:after="0" w:line="258" w:lineRule="auto"/>
        <w:tabs>
          <w:tab w:leader="none" w:pos="226" w:val="left"/>
        </w:tabs>
        <w:numPr>
          <w:ilvl w:val="0"/>
          <w:numId w:val="90"/>
        </w:numPr>
        <w:rPr>
          <w:rFonts w:ascii="Arial" w:cs="Arial" w:eastAsia="Arial" w:hAnsi="Arial"/>
          <w:sz w:val="14"/>
          <w:szCs w:val="14"/>
          <w:color w:val="7D7D7D"/>
        </w:rPr>
      </w:pPr>
      <w:r>
        <w:rPr>
          <w:rFonts w:ascii="Arial" w:cs="Arial" w:eastAsia="Arial" w:hAnsi="Arial"/>
          <w:sz w:val="14"/>
          <w:szCs w:val="14"/>
          <w:color w:val="7D7D7D"/>
        </w:rPr>
        <w:t>Represents comparison of cumulative TSR for our common stock and cumulative TSR for the Invesco Solar ETF for the period from December 31, 2019 to December 31, 2023. An investment of $100 is assumed to have been made in our common stock and in each index on December 31, 2019, all dividends were reinvested, and the relative performance of the investments are tracked through December 31, 2023. The information shown is historical and stockholder returns over the indicated period should not be considered indicative of future stockholder returns or future performance.</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000" w:right="319" w:bottom="1440" w:gutter="0" w:footer="0" w:header="0"/>
        </w:sectPr>
      </w:pPr>
    </w:p>
    <w:bookmarkStart w:id="65" w:name="page66"/>
    <w:bookmarkEnd w:id="65"/>
    <w:p>
      <w:pPr>
        <w:ind w:right="20"/>
        <w:spacing w:after="0" w:line="318" w:lineRule="auto"/>
        <w:rPr>
          <w:sz w:val="20"/>
          <w:szCs w:val="20"/>
          <w:color w:val="auto"/>
        </w:rPr>
      </w:pPr>
      <w:r>
        <w:rPr>
          <w:rFonts w:ascii="Arial" w:cs="Arial" w:eastAsia="Arial" w:hAnsi="Arial"/>
          <w:sz w:val="16"/>
          <w:szCs w:val="16"/>
          <w:color w:val="auto"/>
        </w:rPr>
        <w:t>To calculate the amounts in the “Compensation Actually Paid to CEO” column in the table above for 2023, the following amounts were deducted from and added to (as applicable) the “Total” compensation of CEO, as reported in the Summary Compensation Table for 2023:</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1620" w:type="dxa"/>
            <w:vAlign w:val="bottom"/>
            <w:tcBorders>
              <w:left w:val="single" w:sz="8" w:color="3C3C3C"/>
              <w:right w:val="single" w:sz="8" w:color="3C3C3C"/>
            </w:tcBorders>
            <w:shd w:val="clear" w:color="auto" w:fill="3C3C3C"/>
          </w:tcPr>
          <w:p>
            <w:pPr>
              <w:spacing w:after="0"/>
              <w:rPr>
                <w:sz w:val="15"/>
                <w:szCs w:val="15"/>
                <w:color w:val="auto"/>
              </w:rPr>
            </w:pP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Reported Summary</w:t>
            </w:r>
          </w:p>
        </w:tc>
        <w:tc>
          <w:tcPr>
            <w:tcW w:w="158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Reported Value of</w:t>
            </w: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Equity Award</w:t>
            </w:r>
          </w:p>
        </w:tc>
        <w:tc>
          <w:tcPr>
            <w:tcW w:w="16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Reported Change in</w:t>
            </w:r>
          </w:p>
        </w:tc>
        <w:tc>
          <w:tcPr>
            <w:tcW w:w="1600" w:type="dxa"/>
            <w:vAlign w:val="bottom"/>
            <w:tcBorders>
              <w:right w:val="single" w:sz="8" w:color="3C3C3C"/>
            </w:tcBorders>
            <w:gridSpan w:val="2"/>
            <w:vMerge w:val="restart"/>
            <w:shd w:val="clear" w:color="auto" w:fill="3C3C3C"/>
          </w:tcPr>
          <w:p>
            <w:pPr>
              <w:jc w:val="center"/>
              <w:ind w:right="15"/>
              <w:spacing w:after="0"/>
              <w:rPr>
                <w:sz w:val="20"/>
                <w:szCs w:val="20"/>
                <w:color w:val="auto"/>
              </w:rPr>
            </w:pPr>
            <w:r>
              <w:rPr>
                <w:rFonts w:ascii="Arial" w:cs="Arial" w:eastAsia="Arial" w:hAnsi="Arial"/>
                <w:sz w:val="14"/>
                <w:szCs w:val="14"/>
                <w:b w:val="1"/>
                <w:bCs w:val="1"/>
                <w:color w:val="FFFFFF"/>
              </w:rPr>
              <w:t>Pension Benefit</w:t>
            </w:r>
          </w:p>
        </w:tc>
        <w:tc>
          <w:tcPr>
            <w:tcW w:w="16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Compensation Actually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1620" w:type="dxa"/>
            <w:vAlign w:val="bottom"/>
            <w:tcBorders>
              <w:left w:val="single" w:sz="8" w:color="3C3C3C"/>
              <w:right w:val="single" w:sz="8" w:color="3C3C3C"/>
            </w:tcBorders>
            <w:shd w:val="clear" w:color="auto" w:fill="3C3C3C"/>
          </w:tcPr>
          <w:p>
            <w:pPr>
              <w:spacing w:after="0"/>
              <w:rPr>
                <w:sz w:val="6"/>
                <w:szCs w:val="6"/>
                <w:color w:val="auto"/>
              </w:rPr>
            </w:pPr>
          </w:p>
        </w:tc>
        <w:tc>
          <w:tcPr>
            <w:tcW w:w="1600" w:type="dxa"/>
            <w:vAlign w:val="bottom"/>
            <w:tcBorders>
              <w:right w:val="single" w:sz="8" w:color="3C3C3C"/>
            </w:tcBorders>
            <w:vMerge w:val="continue"/>
            <w:shd w:val="clear" w:color="auto" w:fill="3C3C3C"/>
          </w:tcPr>
          <w:p>
            <w:pPr>
              <w:spacing w:after="0"/>
              <w:rPr>
                <w:sz w:val="6"/>
                <w:szCs w:val="6"/>
                <w:color w:val="auto"/>
              </w:rPr>
            </w:pPr>
          </w:p>
        </w:tc>
        <w:tc>
          <w:tcPr>
            <w:tcW w:w="1580" w:type="dxa"/>
            <w:vAlign w:val="bottom"/>
            <w:tcBorders>
              <w:right w:val="single" w:sz="8" w:color="3C3C3C"/>
            </w:tcBorders>
            <w:vMerge w:val="continue"/>
            <w:shd w:val="clear" w:color="auto" w:fill="3C3C3C"/>
          </w:tcPr>
          <w:p>
            <w:pPr>
              <w:spacing w:after="0"/>
              <w:rPr>
                <w:sz w:val="6"/>
                <w:szCs w:val="6"/>
                <w:color w:val="auto"/>
              </w:rPr>
            </w:pPr>
          </w:p>
        </w:tc>
        <w:tc>
          <w:tcPr>
            <w:tcW w:w="1600" w:type="dxa"/>
            <w:vAlign w:val="bottom"/>
            <w:tcBorders>
              <w:right w:val="single" w:sz="8" w:color="3C3C3C"/>
            </w:tcBorders>
            <w:vMerge w:val="continue"/>
            <w:shd w:val="clear" w:color="auto" w:fill="3C3C3C"/>
          </w:tcPr>
          <w:p>
            <w:pPr>
              <w:spacing w:after="0"/>
              <w:rPr>
                <w:sz w:val="6"/>
                <w:szCs w:val="6"/>
                <w:color w:val="auto"/>
              </w:rPr>
            </w:pP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the Actuarial Present</w:t>
            </w:r>
          </w:p>
        </w:tc>
        <w:tc>
          <w:tcPr>
            <w:tcW w:w="1600" w:type="dxa"/>
            <w:vAlign w:val="bottom"/>
            <w:tcBorders>
              <w:right w:val="single" w:sz="8" w:color="3C3C3C"/>
            </w:tcBorders>
            <w:gridSpan w:val="2"/>
            <w:vMerge w:val="continue"/>
            <w:shd w:val="clear" w:color="auto" w:fill="3C3C3C"/>
          </w:tcPr>
          <w:p>
            <w:pPr>
              <w:spacing w:after="0"/>
              <w:rPr>
                <w:sz w:val="6"/>
                <w:szCs w:val="6"/>
                <w:color w:val="auto"/>
              </w:rPr>
            </w:pPr>
          </w:p>
        </w:tc>
        <w:tc>
          <w:tcPr>
            <w:tcW w:w="160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62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Year</w:t>
            </w: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Compensation Table</w:t>
            </w:r>
          </w:p>
        </w:tc>
        <w:tc>
          <w:tcPr>
            <w:tcW w:w="158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Equity Awards for CEO</w:t>
            </w: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Adjustments for CEO</w:t>
            </w:r>
          </w:p>
        </w:tc>
        <w:tc>
          <w:tcPr>
            <w:tcW w:w="1600" w:type="dxa"/>
            <w:vAlign w:val="bottom"/>
            <w:tcBorders>
              <w:right w:val="single" w:sz="8" w:color="3C3C3C"/>
            </w:tcBorders>
            <w:vMerge w:val="continue"/>
            <w:shd w:val="clear" w:color="auto" w:fill="3C3C3C"/>
          </w:tcPr>
          <w:p>
            <w:pPr>
              <w:spacing w:after="0"/>
              <w:rPr>
                <w:sz w:val="7"/>
                <w:szCs w:val="7"/>
                <w:color w:val="auto"/>
              </w:rPr>
            </w:pPr>
          </w:p>
        </w:tc>
        <w:tc>
          <w:tcPr>
            <w:tcW w:w="1600" w:type="dxa"/>
            <w:vAlign w:val="bottom"/>
            <w:tcBorders>
              <w:right w:val="single" w:sz="8" w:color="3C3C3C"/>
            </w:tcBorders>
            <w:gridSpan w:val="2"/>
            <w:vMerge w:val="restart"/>
            <w:shd w:val="clear" w:color="auto" w:fill="3C3C3C"/>
          </w:tcPr>
          <w:p>
            <w:pPr>
              <w:jc w:val="center"/>
              <w:ind w:right="15"/>
              <w:spacing w:after="0"/>
              <w:rPr>
                <w:sz w:val="20"/>
                <w:szCs w:val="20"/>
                <w:color w:val="auto"/>
              </w:rPr>
            </w:pPr>
            <w:r>
              <w:rPr>
                <w:rFonts w:ascii="Arial" w:cs="Arial" w:eastAsia="Arial" w:hAnsi="Arial"/>
                <w:sz w:val="14"/>
                <w:szCs w:val="14"/>
                <w:b w:val="1"/>
                <w:bCs w:val="1"/>
                <w:color w:val="FFFFFF"/>
              </w:rPr>
              <w:t>Adjustments for CEO</w:t>
            </w:r>
          </w:p>
        </w:tc>
        <w:tc>
          <w:tcPr>
            <w:tcW w:w="16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Paid to CEO</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620" w:type="dxa"/>
            <w:vAlign w:val="bottom"/>
            <w:tcBorders>
              <w:left w:val="single" w:sz="8" w:color="3C3C3C"/>
              <w:right w:val="single" w:sz="8" w:color="3C3C3C"/>
            </w:tcBorders>
            <w:vMerge w:val="continue"/>
            <w:shd w:val="clear" w:color="auto" w:fill="3C3C3C"/>
          </w:tcPr>
          <w:p>
            <w:pPr>
              <w:spacing w:after="0"/>
              <w:rPr>
                <w:sz w:val="6"/>
                <w:szCs w:val="6"/>
                <w:color w:val="auto"/>
              </w:rPr>
            </w:pPr>
          </w:p>
        </w:tc>
        <w:tc>
          <w:tcPr>
            <w:tcW w:w="1600" w:type="dxa"/>
            <w:vAlign w:val="bottom"/>
            <w:tcBorders>
              <w:right w:val="single" w:sz="8" w:color="3C3C3C"/>
            </w:tcBorders>
            <w:vMerge w:val="continue"/>
            <w:shd w:val="clear" w:color="auto" w:fill="3C3C3C"/>
          </w:tcPr>
          <w:p>
            <w:pPr>
              <w:spacing w:after="0"/>
              <w:rPr>
                <w:sz w:val="6"/>
                <w:szCs w:val="6"/>
                <w:color w:val="auto"/>
              </w:rPr>
            </w:pPr>
          </w:p>
        </w:tc>
        <w:tc>
          <w:tcPr>
            <w:tcW w:w="1580" w:type="dxa"/>
            <w:vAlign w:val="bottom"/>
            <w:tcBorders>
              <w:right w:val="single" w:sz="8" w:color="3C3C3C"/>
            </w:tcBorders>
            <w:vMerge w:val="continue"/>
            <w:shd w:val="clear" w:color="auto" w:fill="3C3C3C"/>
          </w:tcPr>
          <w:p>
            <w:pPr>
              <w:spacing w:after="0"/>
              <w:rPr>
                <w:sz w:val="6"/>
                <w:szCs w:val="6"/>
                <w:color w:val="auto"/>
              </w:rPr>
            </w:pPr>
          </w:p>
        </w:tc>
        <w:tc>
          <w:tcPr>
            <w:tcW w:w="1600" w:type="dxa"/>
            <w:vAlign w:val="bottom"/>
            <w:tcBorders>
              <w:right w:val="single" w:sz="8" w:color="3C3C3C"/>
            </w:tcBorders>
            <w:vMerge w:val="continue"/>
            <w:shd w:val="clear" w:color="auto" w:fill="3C3C3C"/>
          </w:tcPr>
          <w:p>
            <w:pPr>
              <w:spacing w:after="0"/>
              <w:rPr>
                <w:sz w:val="6"/>
                <w:szCs w:val="6"/>
                <w:color w:val="auto"/>
              </w:rPr>
            </w:pP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Value of Pension</w:t>
            </w:r>
          </w:p>
        </w:tc>
        <w:tc>
          <w:tcPr>
            <w:tcW w:w="1600" w:type="dxa"/>
            <w:vAlign w:val="bottom"/>
            <w:tcBorders>
              <w:right w:val="single" w:sz="8" w:color="3C3C3C"/>
            </w:tcBorders>
            <w:gridSpan w:val="2"/>
            <w:vMerge w:val="continue"/>
            <w:shd w:val="clear" w:color="auto" w:fill="3C3C3C"/>
          </w:tcPr>
          <w:p>
            <w:pPr>
              <w:spacing w:after="0"/>
              <w:rPr>
                <w:sz w:val="6"/>
                <w:szCs w:val="6"/>
                <w:color w:val="auto"/>
              </w:rPr>
            </w:pPr>
          </w:p>
        </w:tc>
        <w:tc>
          <w:tcPr>
            <w:tcW w:w="1600" w:type="dxa"/>
            <w:vAlign w:val="bottom"/>
            <w:vMerge w:val="continue"/>
            <w:shd w:val="clear" w:color="auto" w:fill="3C3C3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620" w:type="dxa"/>
            <w:vAlign w:val="bottom"/>
            <w:tcBorders>
              <w:left w:val="single" w:sz="8" w:color="3C3C3C"/>
              <w:right w:val="single" w:sz="8" w:color="3C3C3C"/>
            </w:tcBorders>
            <w:shd w:val="clear" w:color="auto" w:fill="3C3C3C"/>
          </w:tcPr>
          <w:p>
            <w:pPr>
              <w:spacing w:after="0"/>
              <w:rPr>
                <w:sz w:val="7"/>
                <w:szCs w:val="7"/>
                <w:color w:val="auto"/>
              </w:rPr>
            </w:pPr>
          </w:p>
        </w:tc>
        <w:tc>
          <w:tcPr>
            <w:tcW w:w="160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Total for CEO ($)</w:t>
            </w:r>
          </w:p>
        </w:tc>
        <w:tc>
          <w:tcPr>
            <w:tcW w:w="1580" w:type="dxa"/>
            <w:vAlign w:val="bottom"/>
            <w:tcBorders>
              <w:right w:val="single" w:sz="8" w:color="3C3C3C"/>
            </w:tcBorders>
            <w:shd w:val="clear" w:color="auto" w:fill="3C3C3C"/>
          </w:tcPr>
          <w:p>
            <w:pPr>
              <w:jc w:val="right"/>
              <w:ind w:right="593"/>
              <w:spacing w:after="0" w:line="90" w:lineRule="exact"/>
              <w:rPr>
                <w:sz w:val="20"/>
                <w:szCs w:val="20"/>
                <w:color w:val="auto"/>
              </w:rPr>
            </w:pPr>
            <w:r>
              <w:rPr>
                <w:rFonts w:ascii="Arial" w:cs="Arial" w:eastAsia="Arial" w:hAnsi="Arial"/>
                <w:sz w:val="9"/>
                <w:szCs w:val="9"/>
                <w:b w:val="1"/>
                <w:bCs w:val="1"/>
                <w:color w:val="FFFFFF"/>
              </w:rPr>
              <w:t>(1)</w:t>
            </w:r>
          </w:p>
        </w:tc>
        <w:tc>
          <w:tcPr>
            <w:tcW w:w="1600" w:type="dxa"/>
            <w:vAlign w:val="bottom"/>
            <w:tcBorders>
              <w:right w:val="single" w:sz="8" w:color="3C3C3C"/>
            </w:tcBorders>
            <w:shd w:val="clear" w:color="auto" w:fill="3C3C3C"/>
          </w:tcPr>
          <w:p>
            <w:pPr>
              <w:jc w:val="right"/>
              <w:ind w:right="613"/>
              <w:spacing w:after="0" w:line="90" w:lineRule="exact"/>
              <w:rPr>
                <w:sz w:val="20"/>
                <w:szCs w:val="20"/>
                <w:color w:val="auto"/>
              </w:rPr>
            </w:pPr>
            <w:r>
              <w:rPr>
                <w:rFonts w:ascii="Arial" w:cs="Arial" w:eastAsia="Arial" w:hAnsi="Arial"/>
                <w:sz w:val="9"/>
                <w:szCs w:val="9"/>
                <w:b w:val="1"/>
                <w:bCs w:val="1"/>
                <w:color w:val="FFFFFF"/>
              </w:rPr>
              <w:t>(2)</w:t>
            </w:r>
          </w:p>
        </w:tc>
        <w:tc>
          <w:tcPr>
            <w:tcW w:w="1600" w:type="dxa"/>
            <w:vAlign w:val="bottom"/>
            <w:tcBorders>
              <w:right w:val="single" w:sz="8" w:color="3C3C3C"/>
            </w:tcBorders>
            <w:vMerge w:val="continue"/>
            <w:shd w:val="clear" w:color="auto" w:fill="3C3C3C"/>
          </w:tcPr>
          <w:p>
            <w:pPr>
              <w:spacing w:after="0"/>
              <w:rPr>
                <w:sz w:val="7"/>
                <w:szCs w:val="7"/>
                <w:color w:val="auto"/>
              </w:rPr>
            </w:pPr>
          </w:p>
        </w:tc>
        <w:tc>
          <w:tcPr>
            <w:tcW w:w="800" w:type="dxa"/>
            <w:vAlign w:val="bottom"/>
            <w:vMerge w:val="restart"/>
            <w:shd w:val="clear" w:color="auto" w:fill="3C3C3C"/>
          </w:tcPr>
          <w:p>
            <w:pPr>
              <w:jc w:val="right"/>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right w:val="single" w:sz="8" w:color="3C3C3C"/>
            </w:tcBorders>
            <w:shd w:val="clear" w:color="auto" w:fill="3C3C3C"/>
          </w:tcPr>
          <w:p>
            <w:pPr>
              <w:jc w:val="right"/>
              <w:ind w:right="635"/>
              <w:spacing w:after="0" w:line="90" w:lineRule="exact"/>
              <w:rPr>
                <w:sz w:val="20"/>
                <w:szCs w:val="20"/>
                <w:color w:val="auto"/>
              </w:rPr>
            </w:pPr>
            <w:r>
              <w:rPr>
                <w:rFonts w:ascii="Arial" w:cs="Arial" w:eastAsia="Arial" w:hAnsi="Arial"/>
                <w:sz w:val="9"/>
                <w:szCs w:val="9"/>
                <w:b w:val="1"/>
                <w:bCs w:val="1"/>
                <w:color w:val="FFFFFF"/>
                <w:w w:val="90"/>
              </w:rPr>
              <w:t>(3)</w:t>
            </w:r>
          </w:p>
        </w:tc>
        <w:tc>
          <w:tcPr>
            <w:tcW w:w="16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620" w:type="dxa"/>
            <w:vAlign w:val="bottom"/>
            <w:tcBorders>
              <w:left w:val="single" w:sz="8" w:color="3C3C3C"/>
              <w:right w:val="single" w:sz="8" w:color="3C3C3C"/>
            </w:tcBorders>
            <w:shd w:val="clear" w:color="auto" w:fill="3C3C3C"/>
          </w:tcPr>
          <w:p>
            <w:pPr>
              <w:spacing w:after="0"/>
              <w:rPr>
                <w:sz w:val="18"/>
                <w:szCs w:val="18"/>
                <w:color w:val="auto"/>
              </w:rPr>
            </w:pPr>
          </w:p>
        </w:tc>
        <w:tc>
          <w:tcPr>
            <w:tcW w:w="1600" w:type="dxa"/>
            <w:vAlign w:val="bottom"/>
            <w:tcBorders>
              <w:right w:val="single" w:sz="8" w:color="3C3C3C"/>
            </w:tcBorders>
            <w:vMerge w:val="continue"/>
            <w:shd w:val="clear" w:color="auto" w:fill="3C3C3C"/>
          </w:tcPr>
          <w:p>
            <w:pPr>
              <w:spacing w:after="0"/>
              <w:rPr>
                <w:sz w:val="18"/>
                <w:szCs w:val="18"/>
                <w:color w:val="auto"/>
              </w:rPr>
            </w:pPr>
          </w:p>
        </w:tc>
        <w:tc>
          <w:tcPr>
            <w:tcW w:w="1580" w:type="dxa"/>
            <w:vAlign w:val="bottom"/>
            <w:tcBorders>
              <w:right w:val="single" w:sz="8" w:color="3C3C3C"/>
            </w:tcBorders>
            <w:shd w:val="clear" w:color="auto" w:fill="3C3C3C"/>
          </w:tcPr>
          <w:p>
            <w:pPr>
              <w:jc w:val="right"/>
              <w:ind w:right="713"/>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right w:val="single" w:sz="8" w:color="3C3C3C"/>
            </w:tcBorders>
            <w:shd w:val="clear" w:color="auto" w:fill="3C3C3C"/>
          </w:tcPr>
          <w:p>
            <w:pPr>
              <w:jc w:val="right"/>
              <w:ind w:right="713"/>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7"/>
              </w:rPr>
              <w:t>Benefits for CEO ($)</w:t>
            </w:r>
            <w:r>
              <w:rPr>
                <w:rFonts w:ascii="Arial" w:cs="Arial" w:eastAsia="Arial" w:hAnsi="Arial"/>
                <w:sz w:val="18"/>
                <w:szCs w:val="18"/>
                <w:b w:val="1"/>
                <w:bCs w:val="1"/>
                <w:color w:val="FFFFFF"/>
                <w:w w:val="97"/>
                <w:vertAlign w:val="superscript"/>
              </w:rPr>
              <w:t>(3)</w:t>
            </w:r>
          </w:p>
        </w:tc>
        <w:tc>
          <w:tcPr>
            <w:tcW w:w="800" w:type="dxa"/>
            <w:vAlign w:val="bottom"/>
            <w:vMerge w:val="continue"/>
            <w:shd w:val="clear" w:color="auto" w:fill="3C3C3C"/>
          </w:tcPr>
          <w:p>
            <w:pPr>
              <w:spacing w:after="0"/>
              <w:rPr>
                <w:sz w:val="18"/>
                <w:szCs w:val="18"/>
                <w:color w:val="auto"/>
              </w:rPr>
            </w:pPr>
          </w:p>
        </w:tc>
        <w:tc>
          <w:tcPr>
            <w:tcW w:w="800" w:type="dxa"/>
            <w:vAlign w:val="bottom"/>
            <w:tcBorders>
              <w:right w:val="single" w:sz="8" w:color="3C3C3C"/>
            </w:tcBorders>
            <w:shd w:val="clear" w:color="auto" w:fill="3C3C3C"/>
          </w:tcPr>
          <w:p>
            <w:pPr>
              <w:spacing w:after="0"/>
              <w:rPr>
                <w:sz w:val="18"/>
                <w:szCs w:val="18"/>
                <w:color w:val="auto"/>
              </w:rPr>
            </w:pPr>
          </w:p>
        </w:tc>
        <w:tc>
          <w:tcPr>
            <w:tcW w:w="1600" w:type="dxa"/>
            <w:vAlign w:val="bottom"/>
            <w:vMerge w:val="continue"/>
            <w:shd w:val="clear" w:color="auto" w:fill="3C3C3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7D7D7D"/>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2023</w:t>
            </w:r>
          </w:p>
        </w:tc>
        <w:tc>
          <w:tcPr>
            <w:tcW w:w="16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7"/>
              </w:rPr>
              <w:t>19,527,534</w:t>
            </w:r>
          </w:p>
        </w:tc>
        <w:tc>
          <w:tcPr>
            <w:tcW w:w="158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6"/>
              </w:rPr>
              <w:t>(18,804,672)</w:t>
            </w:r>
          </w:p>
        </w:tc>
        <w:tc>
          <w:tcPr>
            <w:tcW w:w="16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8"/>
              </w:rPr>
              <w:t>1,821,608</w:t>
            </w:r>
          </w:p>
        </w:tc>
        <w:tc>
          <w:tcPr>
            <w:tcW w:w="1600" w:type="dxa"/>
            <w:vAlign w:val="bottom"/>
            <w:tcBorders>
              <w:right w:val="single" w:sz="8" w:color="7D7D7D"/>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tcBorders>
              <w:right w:val="single" w:sz="8" w:color="7D7D7D"/>
            </w:tcBorders>
            <w:gridSpan w:val="2"/>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2,544,470</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ind w:left="220" w:hanging="215"/>
        <w:spacing w:after="0"/>
        <w:tabs>
          <w:tab w:leader="none" w:pos="220" w:val="left"/>
        </w:tabs>
        <w:numPr>
          <w:ilvl w:val="0"/>
          <w:numId w:val="91"/>
        </w:numPr>
        <w:rPr>
          <w:rFonts w:ascii="Arial" w:cs="Arial" w:eastAsia="Arial" w:hAnsi="Arial"/>
          <w:sz w:val="14"/>
          <w:szCs w:val="14"/>
          <w:color w:val="7D7D7D"/>
        </w:rPr>
      </w:pPr>
      <w:r>
        <w:rPr>
          <w:rFonts w:ascii="Arial" w:cs="Arial" w:eastAsia="Arial" w:hAnsi="Arial"/>
          <w:sz w:val="14"/>
          <w:szCs w:val="14"/>
          <w:color w:val="7D7D7D"/>
        </w:rPr>
        <w:t>Represents the grant date fair value of the equity awards to our CEO, as reported in the “Stock Awards” column in the Summary Compensation Table for 2023.</w:t>
      </w:r>
    </w:p>
    <w:p>
      <w:pPr>
        <w:spacing w:after="0" w:line="61" w:lineRule="exact"/>
        <w:rPr>
          <w:sz w:val="20"/>
          <w:szCs w:val="20"/>
          <w:color w:val="auto"/>
        </w:rPr>
      </w:pPr>
    </w:p>
    <w:p>
      <w:pPr>
        <w:ind w:left="240" w:right="20" w:hanging="235"/>
        <w:spacing w:after="0" w:line="328" w:lineRule="auto"/>
        <w:tabs>
          <w:tab w:leader="none" w:pos="226" w:val="left"/>
        </w:tabs>
        <w:numPr>
          <w:ilvl w:val="0"/>
          <w:numId w:val="92"/>
        </w:numPr>
        <w:rPr>
          <w:rFonts w:ascii="Arial" w:cs="Arial" w:eastAsia="Arial" w:hAnsi="Arial"/>
          <w:sz w:val="13"/>
          <w:szCs w:val="13"/>
          <w:color w:val="7D7D7D"/>
        </w:rPr>
      </w:pPr>
      <w:r>
        <w:rPr>
          <w:rFonts w:ascii="Arial" w:cs="Arial" w:eastAsia="Arial" w:hAnsi="Arial"/>
          <w:sz w:val="13"/>
          <w:szCs w:val="13"/>
          <w:color w:val="7D7D7D"/>
        </w:rPr>
        <w:t>Represents the year-over-year change in the fair value of equity awards to our CEO, as itemized in the table below. No awards vested in the year they were granted and there is no value to report for dividends or other earnings on stock awards in the applicable year prior to the vesting date that were not otherwise reflected in the fair value of such awards.</w:t>
      </w:r>
    </w:p>
    <w:p>
      <w:pPr>
        <w:spacing w:after="0" w:line="19" w:lineRule="exact"/>
        <w:rPr>
          <w:sz w:val="20"/>
          <w:szCs w:val="20"/>
          <w:color w:val="auto"/>
        </w:rPr>
      </w:pPr>
    </w:p>
    <w:tbl>
      <w:tblPr>
        <w:tblLayout w:type="fixed"/>
        <w:tblInd w:w="250" w:type="dxa"/>
        <w:tblCellMar>
          <w:top w:w="0" w:type="dxa"/>
          <w:left w:w="0" w:type="dxa"/>
          <w:bottom w:w="0" w:type="dxa"/>
          <w:right w:w="0" w:type="dxa"/>
        </w:tblCellMar>
      </w:tblPr>
      <w:tr>
        <w:trPr>
          <w:trHeight w:val="187"/>
        </w:trPr>
        <w:tc>
          <w:tcPr>
            <w:tcW w:w="9420" w:type="dxa"/>
            <w:vAlign w:val="bottom"/>
            <w:tcBorders>
              <w:left w:val="single" w:sz="8" w:color="3C3C3C"/>
              <w:right w:val="single" w:sz="8" w:color="3C3C3C"/>
            </w:tcBorders>
            <w:vMerge w:val="restart"/>
            <w:shd w:val="clear" w:color="auto" w:fill="3C3C3C"/>
          </w:tcPr>
          <w:p>
            <w:pPr>
              <w:ind w:left="100"/>
              <w:spacing w:after="0"/>
              <w:rPr>
                <w:sz w:val="20"/>
                <w:szCs w:val="20"/>
                <w:color w:val="auto"/>
              </w:rPr>
            </w:pPr>
            <w:r>
              <w:rPr>
                <w:rFonts w:ascii="Arial" w:cs="Arial" w:eastAsia="Arial" w:hAnsi="Arial"/>
                <w:sz w:val="14"/>
                <w:szCs w:val="14"/>
                <w:b w:val="1"/>
                <w:bCs w:val="1"/>
                <w:color w:val="FFFFFF"/>
              </w:rPr>
              <w:t>Fair Value of Equity Awards for CEO</w:t>
            </w:r>
          </w:p>
        </w:tc>
        <w:tc>
          <w:tcPr>
            <w:tcW w:w="130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942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130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420" w:type="dxa"/>
            <w:vAlign w:val="bottom"/>
            <w:tcBorders>
              <w:left w:val="single" w:sz="8" w:color="3C3C3C"/>
              <w:right w:val="single" w:sz="8" w:color="3C3C3C"/>
            </w:tcBorders>
            <w:shd w:val="clear" w:color="auto" w:fill="3C3C3C"/>
          </w:tcPr>
          <w:p>
            <w:pPr>
              <w:spacing w:after="0"/>
              <w:rPr>
                <w:sz w:val="9"/>
                <w:szCs w:val="9"/>
                <w:color w:val="auto"/>
              </w:rPr>
            </w:pPr>
          </w:p>
        </w:tc>
        <w:tc>
          <w:tcPr>
            <w:tcW w:w="1300" w:type="dxa"/>
            <w:vAlign w:val="bottom"/>
            <w:vMerge w:val="continue"/>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9420" w:type="dxa"/>
            <w:vAlign w:val="bottom"/>
            <w:tcBorders>
              <w:left w:val="single" w:sz="8" w:color="B6B6B6"/>
              <w:right w:val="single" w:sz="8" w:color="B6B6B6"/>
            </w:tcBorders>
            <w:shd w:val="clear" w:color="auto" w:fill="FAF6EF"/>
          </w:tcPr>
          <w:p>
            <w:pPr>
              <w:ind w:left="100"/>
              <w:spacing w:after="0"/>
              <w:rPr>
                <w:sz w:val="20"/>
                <w:szCs w:val="20"/>
                <w:color w:val="auto"/>
              </w:rPr>
            </w:pPr>
            <w:r>
              <w:rPr>
                <w:rFonts w:ascii="Arial" w:cs="Arial" w:eastAsia="Arial" w:hAnsi="Arial"/>
                <w:sz w:val="16"/>
                <w:szCs w:val="16"/>
                <w:color w:val="auto"/>
              </w:rPr>
              <w:t>As of year-end for awards granted during the year</w:t>
            </w:r>
          </w:p>
        </w:tc>
        <w:tc>
          <w:tcPr>
            <w:tcW w:w="130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8,960,688</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420" w:type="dxa"/>
            <w:vAlign w:val="bottom"/>
            <w:tcBorders>
              <w:left w:val="single" w:sz="8" w:color="B6B6B6"/>
              <w:right w:val="single" w:sz="8" w:color="B6B6B6"/>
            </w:tcBorders>
          </w:tcPr>
          <w:p>
            <w:pPr>
              <w:ind w:left="100"/>
              <w:spacing w:after="0"/>
              <w:rPr>
                <w:sz w:val="20"/>
                <w:szCs w:val="20"/>
                <w:color w:val="auto"/>
              </w:rPr>
            </w:pPr>
            <w:r>
              <w:rPr>
                <w:rFonts w:ascii="Arial" w:cs="Arial" w:eastAsia="Arial" w:hAnsi="Arial"/>
                <w:sz w:val="16"/>
                <w:szCs w:val="16"/>
                <w:color w:val="auto"/>
              </w:rPr>
              <w:t>Year-over-year increase (decrease) of unvested awards granted in prior years</w:t>
            </w:r>
          </w:p>
        </w:tc>
        <w:tc>
          <w:tcPr>
            <w:tcW w:w="1300" w:type="dxa"/>
            <w:vAlign w:val="bottom"/>
          </w:tcPr>
          <w:p>
            <w:pPr>
              <w:jc w:val="center"/>
              <w:spacing w:after="0"/>
              <w:rPr>
                <w:sz w:val="20"/>
                <w:szCs w:val="20"/>
                <w:color w:val="auto"/>
              </w:rPr>
            </w:pPr>
            <w:r>
              <w:rPr>
                <w:rFonts w:ascii="Arial" w:cs="Arial" w:eastAsia="Arial" w:hAnsi="Arial"/>
                <w:sz w:val="16"/>
                <w:szCs w:val="16"/>
                <w:color w:val="auto"/>
                <w:w w:val="97"/>
              </w:rPr>
              <w:t>(2,125,120)</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420" w:type="dxa"/>
            <w:vAlign w:val="bottom"/>
            <w:tcBorders>
              <w:left w:val="single" w:sz="8" w:color="B6B6B6"/>
              <w:right w:val="single" w:sz="8" w:color="B6B6B6"/>
            </w:tcBorders>
            <w:shd w:val="clear" w:color="auto" w:fill="FAF6EF"/>
          </w:tcPr>
          <w:p>
            <w:pPr>
              <w:ind w:left="100"/>
              <w:spacing w:after="0"/>
              <w:rPr>
                <w:sz w:val="20"/>
                <w:szCs w:val="20"/>
                <w:color w:val="auto"/>
              </w:rPr>
            </w:pPr>
            <w:r>
              <w:rPr>
                <w:rFonts w:ascii="Arial" w:cs="Arial" w:eastAsia="Arial" w:hAnsi="Arial"/>
                <w:sz w:val="16"/>
                <w:szCs w:val="16"/>
                <w:color w:val="auto"/>
              </w:rPr>
              <w:t>Increase (decrease) from prior fiscal year-end for awards that vested during the year</w:t>
            </w:r>
          </w:p>
        </w:tc>
        <w:tc>
          <w:tcPr>
            <w:tcW w:w="1300" w:type="dxa"/>
            <w:vAlign w:val="bottom"/>
            <w:tcBorders>
              <w:bottom w:val="single" w:sz="8" w:color="3C3C3C"/>
            </w:tcBorders>
            <w:shd w:val="clear" w:color="auto" w:fill="FAF6EF"/>
          </w:tcPr>
          <w:p>
            <w:pPr>
              <w:jc w:val="center"/>
              <w:spacing w:after="0"/>
              <w:rPr>
                <w:sz w:val="20"/>
                <w:szCs w:val="20"/>
                <w:color w:val="auto"/>
              </w:rPr>
            </w:pPr>
            <w:r>
              <w:rPr>
                <w:rFonts w:ascii="Arial" w:cs="Arial" w:eastAsia="Arial" w:hAnsi="Arial"/>
                <w:sz w:val="16"/>
                <w:szCs w:val="16"/>
                <w:color w:val="auto"/>
                <w:w w:val="97"/>
              </w:rPr>
              <w:t>(5,013,960)</w:t>
            </w:r>
          </w:p>
        </w:tc>
        <w:tc>
          <w:tcPr>
            <w:tcW w:w="20" w:type="dxa"/>
            <w:vAlign w:val="bottom"/>
            <w:tcBorders>
              <w:bottom w:val="single" w:sz="8" w:color="3C3C3C"/>
            </w:tcBorders>
            <w:shd w:val="clear" w:color="auto" w:fill="7D7D7D"/>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20" w:type="dxa"/>
            <w:vAlign w:val="bottom"/>
            <w:tcBorders>
              <w:left w:val="single" w:sz="8" w:color="B6B6B6"/>
              <w:right w:val="single" w:sz="8" w:color="B6B6B6"/>
            </w:tcBorders>
          </w:tcPr>
          <w:p>
            <w:pPr>
              <w:ind w:left="220"/>
              <w:spacing w:after="0"/>
              <w:rPr>
                <w:sz w:val="20"/>
                <w:szCs w:val="20"/>
                <w:color w:val="auto"/>
              </w:rPr>
            </w:pPr>
            <w:r>
              <w:rPr>
                <w:rFonts w:ascii="Arial" w:cs="Arial" w:eastAsia="Arial" w:hAnsi="Arial"/>
                <w:sz w:val="16"/>
                <w:szCs w:val="16"/>
                <w:b w:val="1"/>
                <w:bCs w:val="1"/>
                <w:color w:val="auto"/>
              </w:rPr>
              <w:t>Total Equity Award Adjustment</w:t>
            </w:r>
          </w:p>
        </w:tc>
        <w:tc>
          <w:tcPr>
            <w:tcW w:w="1300" w:type="dxa"/>
            <w:vAlign w:val="bottom"/>
            <w:tcBorders>
              <w:bottom w:val="single" w:sz="8" w:color="3C3C3C"/>
            </w:tcBorders>
          </w:tcPr>
          <w:p>
            <w:pPr>
              <w:jc w:val="center"/>
              <w:spacing w:after="0"/>
              <w:rPr>
                <w:sz w:val="20"/>
                <w:szCs w:val="20"/>
                <w:color w:val="auto"/>
              </w:rPr>
            </w:pPr>
            <w:r>
              <w:rPr>
                <w:rFonts w:ascii="Arial" w:cs="Arial" w:eastAsia="Arial" w:hAnsi="Arial"/>
                <w:sz w:val="16"/>
                <w:szCs w:val="16"/>
                <w:b w:val="1"/>
                <w:bCs w:val="1"/>
                <w:color w:val="auto"/>
                <w:w w:val="97"/>
              </w:rPr>
              <w:t>$1,821,608</w:t>
            </w:r>
          </w:p>
        </w:tc>
        <w:tc>
          <w:tcPr>
            <w:tcW w:w="20" w:type="dxa"/>
            <w:vAlign w:val="bottom"/>
            <w:tcBorders>
              <w:bottom w:val="single" w:sz="8" w:color="3C3C3C"/>
            </w:tcBorders>
            <w:shd w:val="clear" w:color="auto" w:fill="7D7D7D"/>
          </w:tcPr>
          <w:p>
            <w:pPr>
              <w:spacing w:after="0"/>
              <w:rPr>
                <w:sz w:val="23"/>
                <w:szCs w:val="23"/>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20" w:hanging="215"/>
        <w:spacing w:after="0"/>
        <w:tabs>
          <w:tab w:leader="none" w:pos="220" w:val="left"/>
        </w:tabs>
        <w:numPr>
          <w:ilvl w:val="0"/>
          <w:numId w:val="93"/>
        </w:numPr>
        <w:rPr>
          <w:rFonts w:ascii="Arial" w:cs="Arial" w:eastAsia="Arial" w:hAnsi="Arial"/>
          <w:sz w:val="14"/>
          <w:szCs w:val="14"/>
          <w:color w:val="7D7D7D"/>
        </w:rPr>
      </w:pPr>
      <w:r>
        <w:rPr>
          <w:rFonts w:ascii="Arial" w:cs="Arial" w:eastAsia="Arial" w:hAnsi="Arial"/>
          <w:sz w:val="14"/>
          <w:szCs w:val="14"/>
          <w:color w:val="7D7D7D"/>
        </w:rPr>
        <w:t>No pension benefit plans are offered by Enphase.</w:t>
      </w:r>
    </w:p>
    <w:p>
      <w:pPr>
        <w:spacing w:after="0" w:line="28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To calculate the amounts in the “Average Compensation Actually Paid to Non-CEO NEOs” column in the table above for 2023, the following amounts were deducted from and added to (as applicable) the average of the “Total” compensation of our non-CEO named executive officers, as reported in the Summary Compensation Table for 2023:</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1180" w:type="dxa"/>
            <w:vAlign w:val="bottom"/>
            <w:tcBorders>
              <w:left w:val="single" w:sz="8" w:color="3C3C3C"/>
              <w:right w:val="single" w:sz="8" w:color="3C3C3C"/>
            </w:tcBorders>
            <w:shd w:val="clear" w:color="auto" w:fill="3C3C3C"/>
          </w:tcPr>
          <w:p>
            <w:pPr>
              <w:spacing w:after="0"/>
              <w:rPr>
                <w:sz w:val="15"/>
                <w:szCs w:val="15"/>
                <w:color w:val="auto"/>
              </w:rPr>
            </w:pPr>
          </w:p>
        </w:tc>
        <w:tc>
          <w:tcPr>
            <w:tcW w:w="19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Average Reported Summary</w:t>
            </w:r>
          </w:p>
        </w:tc>
        <w:tc>
          <w:tcPr>
            <w:tcW w:w="15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Average Reported</w:t>
            </w:r>
          </w:p>
        </w:tc>
        <w:tc>
          <w:tcPr>
            <w:tcW w:w="1560" w:type="dxa"/>
            <w:vAlign w:val="bottom"/>
            <w:tcBorders>
              <w:right w:val="single" w:sz="8" w:color="3C3C3C"/>
            </w:tcBorders>
            <w:shd w:val="clear" w:color="auto" w:fill="3C3C3C"/>
          </w:tcPr>
          <w:p>
            <w:pPr>
              <w:spacing w:after="0"/>
              <w:rPr>
                <w:sz w:val="15"/>
                <w:szCs w:val="15"/>
                <w:color w:val="auto"/>
              </w:rPr>
            </w:pPr>
          </w:p>
        </w:tc>
        <w:tc>
          <w:tcPr>
            <w:tcW w:w="19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Average Reported Change</w:t>
            </w:r>
          </w:p>
        </w:tc>
        <w:tc>
          <w:tcPr>
            <w:tcW w:w="1540" w:type="dxa"/>
            <w:vAlign w:val="bottom"/>
            <w:tcBorders>
              <w:right w:val="single" w:sz="8" w:color="3C3C3C"/>
            </w:tcBorders>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Average Pension</w:t>
            </w:r>
          </w:p>
        </w:tc>
        <w:tc>
          <w:tcPr>
            <w:tcW w:w="154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7"/>
              </w:rPr>
              <w:t>Average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1180" w:type="dxa"/>
            <w:vAlign w:val="bottom"/>
            <w:tcBorders>
              <w:left w:val="single" w:sz="8" w:color="3C3C3C"/>
              <w:right w:val="single" w:sz="8" w:color="3C3C3C"/>
            </w:tcBorders>
            <w:shd w:val="clear" w:color="auto" w:fill="3C3C3C"/>
          </w:tcPr>
          <w:p>
            <w:pPr>
              <w:spacing w:after="0"/>
              <w:rPr>
                <w:sz w:val="6"/>
                <w:szCs w:val="6"/>
                <w:color w:val="auto"/>
              </w:rPr>
            </w:pPr>
          </w:p>
        </w:tc>
        <w:tc>
          <w:tcPr>
            <w:tcW w:w="1920" w:type="dxa"/>
            <w:vAlign w:val="bottom"/>
            <w:tcBorders>
              <w:right w:val="single" w:sz="8" w:color="3C3C3C"/>
            </w:tcBorders>
            <w:vMerge w:val="continue"/>
            <w:shd w:val="clear" w:color="auto" w:fill="3C3C3C"/>
          </w:tcPr>
          <w:p>
            <w:pPr>
              <w:spacing w:after="0"/>
              <w:rPr>
                <w:sz w:val="6"/>
                <w:szCs w:val="6"/>
                <w:color w:val="auto"/>
              </w:rPr>
            </w:pP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Value of Equity</w:t>
            </w: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Average Equity Award</w:t>
            </w:r>
          </w:p>
        </w:tc>
        <w:tc>
          <w:tcPr>
            <w:tcW w:w="19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in the Actuarial Present</w:t>
            </w:r>
          </w:p>
        </w:tc>
        <w:tc>
          <w:tcPr>
            <w:tcW w:w="1540" w:type="dxa"/>
            <w:vAlign w:val="bottom"/>
            <w:tcBorders>
              <w:right w:val="single" w:sz="8" w:color="3C3C3C"/>
            </w:tcBorders>
            <w:gridSpan w:val="2"/>
            <w:vMerge w:val="continue"/>
            <w:shd w:val="clear" w:color="auto" w:fill="3C3C3C"/>
          </w:tcPr>
          <w:p>
            <w:pPr>
              <w:spacing w:after="0"/>
              <w:rPr>
                <w:sz w:val="6"/>
                <w:szCs w:val="6"/>
                <w:color w:val="auto"/>
              </w:rPr>
            </w:pPr>
          </w:p>
        </w:tc>
        <w:tc>
          <w:tcPr>
            <w:tcW w:w="154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Compensation</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180" w:type="dxa"/>
            <w:vAlign w:val="bottom"/>
            <w:tcBorders>
              <w:left w:val="single" w:sz="8" w:color="3C3C3C"/>
              <w:right w:val="single" w:sz="8" w:color="3C3C3C"/>
            </w:tcBorders>
            <w:shd w:val="clear" w:color="auto" w:fill="3C3C3C"/>
          </w:tcPr>
          <w:p>
            <w:pPr>
              <w:spacing w:after="0"/>
              <w:rPr>
                <w:sz w:val="7"/>
                <w:szCs w:val="7"/>
                <w:color w:val="auto"/>
              </w:rPr>
            </w:pPr>
          </w:p>
        </w:tc>
        <w:tc>
          <w:tcPr>
            <w:tcW w:w="19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Compensation Table Total</w:t>
            </w:r>
          </w:p>
        </w:tc>
        <w:tc>
          <w:tcPr>
            <w:tcW w:w="1560" w:type="dxa"/>
            <w:vAlign w:val="bottom"/>
            <w:tcBorders>
              <w:right w:val="single" w:sz="8" w:color="3C3C3C"/>
            </w:tcBorders>
            <w:vMerge w:val="continue"/>
            <w:shd w:val="clear" w:color="auto" w:fill="3C3C3C"/>
          </w:tcPr>
          <w:p>
            <w:pPr>
              <w:spacing w:after="0"/>
              <w:rPr>
                <w:sz w:val="7"/>
                <w:szCs w:val="7"/>
                <w:color w:val="auto"/>
              </w:rPr>
            </w:pPr>
          </w:p>
        </w:tc>
        <w:tc>
          <w:tcPr>
            <w:tcW w:w="1560" w:type="dxa"/>
            <w:vAlign w:val="bottom"/>
            <w:tcBorders>
              <w:right w:val="single" w:sz="8" w:color="3C3C3C"/>
            </w:tcBorders>
            <w:vMerge w:val="continue"/>
            <w:shd w:val="clear" w:color="auto" w:fill="3C3C3C"/>
          </w:tcPr>
          <w:p>
            <w:pPr>
              <w:spacing w:after="0"/>
              <w:rPr>
                <w:sz w:val="7"/>
                <w:szCs w:val="7"/>
                <w:color w:val="auto"/>
              </w:rPr>
            </w:pPr>
          </w:p>
        </w:tc>
        <w:tc>
          <w:tcPr>
            <w:tcW w:w="1940" w:type="dxa"/>
            <w:vAlign w:val="bottom"/>
            <w:tcBorders>
              <w:right w:val="single" w:sz="8" w:color="3C3C3C"/>
            </w:tcBorders>
            <w:vMerge w:val="continue"/>
            <w:shd w:val="clear" w:color="auto" w:fill="3C3C3C"/>
          </w:tcPr>
          <w:p>
            <w:pPr>
              <w:spacing w:after="0"/>
              <w:rPr>
                <w:sz w:val="7"/>
                <w:szCs w:val="7"/>
                <w:color w:val="auto"/>
              </w:rPr>
            </w:pPr>
          </w:p>
        </w:tc>
        <w:tc>
          <w:tcPr>
            <w:tcW w:w="1540" w:type="dxa"/>
            <w:vAlign w:val="bottom"/>
            <w:tcBorders>
              <w:right w:val="single" w:sz="8" w:color="3C3C3C"/>
            </w:tcBorders>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Benefit Adjustments</w:t>
            </w:r>
          </w:p>
        </w:tc>
        <w:tc>
          <w:tcPr>
            <w:tcW w:w="1540" w:type="dxa"/>
            <w:vAlign w:val="bottom"/>
            <w:vMerge w:val="continue"/>
            <w:shd w:val="clear" w:color="auto" w:fill="3C3C3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180" w:type="dxa"/>
            <w:vAlign w:val="bottom"/>
            <w:tcBorders>
              <w:left w:val="single" w:sz="8" w:color="3C3C3C"/>
              <w:right w:val="single" w:sz="8" w:color="3C3C3C"/>
            </w:tcBorders>
            <w:vMerge w:val="restart"/>
            <w:shd w:val="clear" w:color="auto" w:fill="3C3C3C"/>
          </w:tcPr>
          <w:p>
            <w:pPr>
              <w:ind w:left="100"/>
              <w:spacing w:after="0"/>
              <w:rPr>
                <w:sz w:val="20"/>
                <w:szCs w:val="20"/>
                <w:color w:val="auto"/>
              </w:rPr>
            </w:pPr>
            <w:r>
              <w:rPr>
                <w:rFonts w:ascii="Arial" w:cs="Arial" w:eastAsia="Arial" w:hAnsi="Arial"/>
                <w:sz w:val="14"/>
                <w:szCs w:val="14"/>
                <w:b w:val="1"/>
                <w:bCs w:val="1"/>
                <w:color w:val="FFFFFF"/>
              </w:rPr>
              <w:t>Year</w:t>
            </w:r>
          </w:p>
        </w:tc>
        <w:tc>
          <w:tcPr>
            <w:tcW w:w="1920" w:type="dxa"/>
            <w:vAlign w:val="bottom"/>
            <w:tcBorders>
              <w:right w:val="single" w:sz="8" w:color="3C3C3C"/>
            </w:tcBorders>
            <w:vMerge w:val="continue"/>
            <w:shd w:val="clear" w:color="auto" w:fill="3C3C3C"/>
          </w:tcPr>
          <w:p>
            <w:pPr>
              <w:spacing w:after="0"/>
              <w:rPr>
                <w:sz w:val="6"/>
                <w:szCs w:val="6"/>
                <w:color w:val="auto"/>
              </w:rPr>
            </w:pP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Awards for Non-CEO</w:t>
            </w: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Adjustments for Non-</w:t>
            </w:r>
          </w:p>
        </w:tc>
        <w:tc>
          <w:tcPr>
            <w:tcW w:w="19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8"/>
              </w:rPr>
              <w:t>Value of Pension Benefits</w:t>
            </w:r>
          </w:p>
        </w:tc>
        <w:tc>
          <w:tcPr>
            <w:tcW w:w="1540" w:type="dxa"/>
            <w:vAlign w:val="bottom"/>
            <w:tcBorders>
              <w:right w:val="single" w:sz="8" w:color="3C3C3C"/>
            </w:tcBorders>
            <w:gridSpan w:val="2"/>
            <w:vMerge w:val="continue"/>
            <w:shd w:val="clear" w:color="auto" w:fill="3C3C3C"/>
          </w:tcPr>
          <w:p>
            <w:pPr>
              <w:spacing w:after="0"/>
              <w:rPr>
                <w:sz w:val="6"/>
                <w:szCs w:val="6"/>
                <w:color w:val="auto"/>
              </w:rPr>
            </w:pPr>
          </w:p>
        </w:tc>
        <w:tc>
          <w:tcPr>
            <w:tcW w:w="154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Actually Paid to Non-</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180" w:type="dxa"/>
            <w:vAlign w:val="bottom"/>
            <w:tcBorders>
              <w:left w:val="single" w:sz="8" w:color="3C3C3C"/>
              <w:right w:val="single" w:sz="8" w:color="3C3C3C"/>
            </w:tcBorders>
            <w:vMerge w:val="continue"/>
            <w:shd w:val="clear" w:color="auto" w:fill="3C3C3C"/>
          </w:tcPr>
          <w:p>
            <w:pPr>
              <w:spacing w:after="0"/>
              <w:rPr>
                <w:sz w:val="7"/>
                <w:szCs w:val="7"/>
                <w:color w:val="auto"/>
              </w:rPr>
            </w:pPr>
          </w:p>
        </w:tc>
        <w:tc>
          <w:tcPr>
            <w:tcW w:w="19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for Non-CEO NEOs</w:t>
            </w:r>
          </w:p>
        </w:tc>
        <w:tc>
          <w:tcPr>
            <w:tcW w:w="1560" w:type="dxa"/>
            <w:vAlign w:val="bottom"/>
            <w:tcBorders>
              <w:right w:val="single" w:sz="8" w:color="3C3C3C"/>
            </w:tcBorders>
            <w:vMerge w:val="continue"/>
            <w:shd w:val="clear" w:color="auto" w:fill="3C3C3C"/>
          </w:tcPr>
          <w:p>
            <w:pPr>
              <w:spacing w:after="0"/>
              <w:rPr>
                <w:sz w:val="7"/>
                <w:szCs w:val="7"/>
                <w:color w:val="auto"/>
              </w:rPr>
            </w:pPr>
          </w:p>
        </w:tc>
        <w:tc>
          <w:tcPr>
            <w:tcW w:w="1560" w:type="dxa"/>
            <w:vAlign w:val="bottom"/>
            <w:tcBorders>
              <w:right w:val="single" w:sz="8" w:color="3C3C3C"/>
            </w:tcBorders>
            <w:vMerge w:val="continue"/>
            <w:shd w:val="clear" w:color="auto" w:fill="3C3C3C"/>
          </w:tcPr>
          <w:p>
            <w:pPr>
              <w:spacing w:after="0"/>
              <w:rPr>
                <w:sz w:val="7"/>
                <w:szCs w:val="7"/>
                <w:color w:val="auto"/>
              </w:rPr>
            </w:pPr>
          </w:p>
        </w:tc>
        <w:tc>
          <w:tcPr>
            <w:tcW w:w="1940" w:type="dxa"/>
            <w:vAlign w:val="bottom"/>
            <w:tcBorders>
              <w:right w:val="single" w:sz="8" w:color="3C3C3C"/>
            </w:tcBorders>
            <w:vMerge w:val="continue"/>
            <w:shd w:val="clear" w:color="auto" w:fill="3C3C3C"/>
          </w:tcPr>
          <w:p>
            <w:pPr>
              <w:spacing w:after="0"/>
              <w:rPr>
                <w:sz w:val="7"/>
                <w:szCs w:val="7"/>
                <w:color w:val="auto"/>
              </w:rPr>
            </w:pPr>
          </w:p>
        </w:tc>
        <w:tc>
          <w:tcPr>
            <w:tcW w:w="1540" w:type="dxa"/>
            <w:vAlign w:val="bottom"/>
            <w:tcBorders>
              <w:right w:val="single" w:sz="8" w:color="3C3C3C"/>
            </w:tcBorders>
            <w:gridSpan w:val="2"/>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for Non-CEO NEOs</w:t>
            </w:r>
          </w:p>
        </w:tc>
        <w:tc>
          <w:tcPr>
            <w:tcW w:w="1540" w:type="dxa"/>
            <w:vAlign w:val="bottom"/>
            <w:vMerge w:val="continue"/>
            <w:shd w:val="clear" w:color="auto" w:fill="3C3C3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180" w:type="dxa"/>
            <w:vAlign w:val="bottom"/>
            <w:tcBorders>
              <w:left w:val="single" w:sz="8" w:color="3C3C3C"/>
              <w:right w:val="single" w:sz="8" w:color="3C3C3C"/>
            </w:tcBorders>
            <w:shd w:val="clear" w:color="auto" w:fill="3C3C3C"/>
          </w:tcPr>
          <w:p>
            <w:pPr>
              <w:spacing w:after="0"/>
              <w:rPr>
                <w:sz w:val="6"/>
                <w:szCs w:val="6"/>
                <w:color w:val="auto"/>
              </w:rPr>
            </w:pPr>
          </w:p>
        </w:tc>
        <w:tc>
          <w:tcPr>
            <w:tcW w:w="1920" w:type="dxa"/>
            <w:vAlign w:val="bottom"/>
            <w:tcBorders>
              <w:right w:val="single" w:sz="8" w:color="3C3C3C"/>
            </w:tcBorders>
            <w:vMerge w:val="continue"/>
            <w:shd w:val="clear" w:color="auto" w:fill="3C3C3C"/>
          </w:tcPr>
          <w:p>
            <w:pPr>
              <w:spacing w:after="0"/>
              <w:rPr>
                <w:sz w:val="6"/>
                <w:szCs w:val="6"/>
                <w:color w:val="auto"/>
              </w:rPr>
            </w:pP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NEOs</w:t>
            </w:r>
          </w:p>
        </w:tc>
        <w:tc>
          <w:tcPr>
            <w:tcW w:w="156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CEO NEOs ($)</w:t>
            </w:r>
            <w:r>
              <w:rPr>
                <w:rFonts w:ascii="Arial" w:cs="Arial" w:eastAsia="Arial" w:hAnsi="Arial"/>
                <w:sz w:val="9"/>
                <w:szCs w:val="9"/>
                <w:b w:val="1"/>
                <w:bCs w:val="1"/>
                <w:color w:val="FFFFFF"/>
                <w:w w:val="99"/>
              </w:rPr>
              <w:t>(2)</w:t>
            </w:r>
          </w:p>
        </w:tc>
        <w:tc>
          <w:tcPr>
            <w:tcW w:w="194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for Non-CEO NEOs</w:t>
            </w:r>
          </w:p>
        </w:tc>
        <w:tc>
          <w:tcPr>
            <w:tcW w:w="1540" w:type="dxa"/>
            <w:vAlign w:val="bottom"/>
            <w:tcBorders>
              <w:right w:val="single" w:sz="8" w:color="3C3C3C"/>
            </w:tcBorders>
            <w:gridSpan w:val="2"/>
            <w:vMerge w:val="continue"/>
            <w:shd w:val="clear" w:color="auto" w:fill="3C3C3C"/>
          </w:tcPr>
          <w:p>
            <w:pPr>
              <w:spacing w:after="0"/>
              <w:rPr>
                <w:sz w:val="6"/>
                <w:szCs w:val="6"/>
                <w:color w:val="auto"/>
              </w:rPr>
            </w:pPr>
          </w:p>
        </w:tc>
        <w:tc>
          <w:tcPr>
            <w:tcW w:w="154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CEO NEOs</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180" w:type="dxa"/>
            <w:vAlign w:val="bottom"/>
            <w:tcBorders>
              <w:left w:val="single" w:sz="8" w:color="3C3C3C"/>
              <w:right w:val="single" w:sz="8" w:color="3C3C3C"/>
            </w:tcBorders>
            <w:shd w:val="clear" w:color="auto" w:fill="3C3C3C"/>
          </w:tcPr>
          <w:p>
            <w:pPr>
              <w:spacing w:after="0"/>
              <w:rPr>
                <w:sz w:val="7"/>
                <w:szCs w:val="7"/>
                <w:color w:val="auto"/>
              </w:rPr>
            </w:pPr>
          </w:p>
        </w:tc>
        <w:tc>
          <w:tcPr>
            <w:tcW w:w="1920" w:type="dxa"/>
            <w:vAlign w:val="bottom"/>
            <w:tcBorders>
              <w:righ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right w:val="single" w:sz="8" w:color="3C3C3C"/>
            </w:tcBorders>
            <w:vMerge w:val="continue"/>
            <w:shd w:val="clear" w:color="auto" w:fill="3C3C3C"/>
          </w:tcPr>
          <w:p>
            <w:pPr>
              <w:spacing w:after="0"/>
              <w:rPr>
                <w:sz w:val="7"/>
                <w:szCs w:val="7"/>
                <w:color w:val="auto"/>
              </w:rPr>
            </w:pPr>
          </w:p>
        </w:tc>
        <w:tc>
          <w:tcPr>
            <w:tcW w:w="1560" w:type="dxa"/>
            <w:vAlign w:val="bottom"/>
            <w:tcBorders>
              <w:right w:val="single" w:sz="8" w:color="3C3C3C"/>
            </w:tcBorders>
            <w:vMerge w:val="continue"/>
            <w:shd w:val="clear" w:color="auto" w:fill="3C3C3C"/>
          </w:tcPr>
          <w:p>
            <w:pPr>
              <w:spacing w:after="0"/>
              <w:rPr>
                <w:sz w:val="7"/>
                <w:szCs w:val="7"/>
                <w:color w:val="auto"/>
              </w:rPr>
            </w:pPr>
          </w:p>
        </w:tc>
        <w:tc>
          <w:tcPr>
            <w:tcW w:w="1940" w:type="dxa"/>
            <w:vAlign w:val="bottom"/>
            <w:tcBorders>
              <w:right w:val="single" w:sz="8" w:color="3C3C3C"/>
            </w:tcBorders>
            <w:vMerge w:val="continue"/>
            <w:shd w:val="clear" w:color="auto" w:fill="3C3C3C"/>
          </w:tcPr>
          <w:p>
            <w:pPr>
              <w:spacing w:after="0"/>
              <w:rPr>
                <w:sz w:val="7"/>
                <w:szCs w:val="7"/>
                <w:color w:val="auto"/>
              </w:rPr>
            </w:pPr>
          </w:p>
        </w:tc>
        <w:tc>
          <w:tcPr>
            <w:tcW w:w="780" w:type="dxa"/>
            <w:vAlign w:val="bottom"/>
            <w:vMerge w:val="restart"/>
            <w:shd w:val="clear" w:color="auto" w:fill="3C3C3C"/>
          </w:tcPr>
          <w:p>
            <w:pPr>
              <w:jc w:val="right"/>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right w:val="single" w:sz="8" w:color="3C3C3C"/>
            </w:tcBorders>
            <w:shd w:val="clear" w:color="auto" w:fill="3C3C3C"/>
          </w:tcPr>
          <w:p>
            <w:pPr>
              <w:jc w:val="right"/>
              <w:ind w:right="595"/>
              <w:spacing w:after="0" w:line="92" w:lineRule="exact"/>
              <w:rPr>
                <w:sz w:val="20"/>
                <w:szCs w:val="20"/>
                <w:color w:val="auto"/>
              </w:rPr>
            </w:pPr>
            <w:r>
              <w:rPr>
                <w:rFonts w:ascii="Arial" w:cs="Arial" w:eastAsia="Arial" w:hAnsi="Arial"/>
                <w:sz w:val="9"/>
                <w:szCs w:val="9"/>
                <w:b w:val="1"/>
                <w:bCs w:val="1"/>
                <w:color w:val="FFFFFF"/>
                <w:w w:val="90"/>
              </w:rPr>
              <w:t>(3)</w:t>
            </w:r>
          </w:p>
        </w:tc>
        <w:tc>
          <w:tcPr>
            <w:tcW w:w="1540" w:type="dxa"/>
            <w:vAlign w:val="bottom"/>
            <w:vMerge w:val="continue"/>
            <w:shd w:val="clear" w:color="auto" w:fill="3C3C3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180" w:type="dxa"/>
            <w:vAlign w:val="bottom"/>
            <w:tcBorders>
              <w:left w:val="single" w:sz="8" w:color="3C3C3C"/>
              <w:right w:val="single" w:sz="8" w:color="3C3C3C"/>
            </w:tcBorders>
            <w:shd w:val="clear" w:color="auto" w:fill="3C3C3C"/>
          </w:tcPr>
          <w:p>
            <w:pPr>
              <w:spacing w:after="0"/>
              <w:rPr>
                <w:sz w:val="18"/>
                <w:szCs w:val="18"/>
                <w:color w:val="auto"/>
              </w:rPr>
            </w:pPr>
          </w:p>
        </w:tc>
        <w:tc>
          <w:tcPr>
            <w:tcW w:w="1920" w:type="dxa"/>
            <w:vAlign w:val="bottom"/>
            <w:tcBorders>
              <w:right w:val="single" w:sz="8" w:color="3C3C3C"/>
            </w:tcBorders>
            <w:vMerge w:val="continue"/>
            <w:shd w:val="clear" w:color="auto" w:fill="3C3C3C"/>
          </w:tcPr>
          <w:p>
            <w:pPr>
              <w:spacing w:after="0"/>
              <w:rPr>
                <w:sz w:val="18"/>
                <w:szCs w:val="18"/>
                <w:color w:val="auto"/>
              </w:rPr>
            </w:pPr>
          </w:p>
        </w:tc>
        <w:tc>
          <w:tcPr>
            <w:tcW w:w="156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(1)</w:t>
            </w:r>
          </w:p>
        </w:tc>
        <w:tc>
          <w:tcPr>
            <w:tcW w:w="1560" w:type="dxa"/>
            <w:vAlign w:val="bottom"/>
            <w:tcBorders>
              <w:right w:val="single" w:sz="8" w:color="3C3C3C"/>
            </w:tcBorders>
            <w:shd w:val="clear" w:color="auto" w:fill="3C3C3C"/>
          </w:tcPr>
          <w:p>
            <w:pPr>
              <w:spacing w:after="0"/>
              <w:rPr>
                <w:sz w:val="18"/>
                <w:szCs w:val="18"/>
                <w:color w:val="auto"/>
              </w:rPr>
            </w:pPr>
          </w:p>
        </w:tc>
        <w:tc>
          <w:tcPr>
            <w:tcW w:w="1940" w:type="dxa"/>
            <w:vAlign w:val="bottom"/>
            <w:tcBorders>
              <w:righ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(3)</w:t>
            </w:r>
          </w:p>
        </w:tc>
        <w:tc>
          <w:tcPr>
            <w:tcW w:w="780" w:type="dxa"/>
            <w:vAlign w:val="bottom"/>
            <w:vMerge w:val="continue"/>
            <w:shd w:val="clear" w:color="auto" w:fill="3C3C3C"/>
          </w:tcPr>
          <w:p>
            <w:pPr>
              <w:spacing w:after="0"/>
              <w:rPr>
                <w:sz w:val="18"/>
                <w:szCs w:val="18"/>
                <w:color w:val="auto"/>
              </w:rPr>
            </w:pPr>
          </w:p>
        </w:tc>
        <w:tc>
          <w:tcPr>
            <w:tcW w:w="760" w:type="dxa"/>
            <w:vAlign w:val="bottom"/>
            <w:tcBorders>
              <w:right w:val="single" w:sz="8" w:color="3C3C3C"/>
            </w:tcBorders>
            <w:shd w:val="clear" w:color="auto" w:fill="3C3C3C"/>
          </w:tcPr>
          <w:p>
            <w:pPr>
              <w:spacing w:after="0"/>
              <w:rPr>
                <w:sz w:val="18"/>
                <w:szCs w:val="18"/>
                <w:color w:val="auto"/>
              </w:rPr>
            </w:pPr>
          </w:p>
        </w:tc>
        <w:tc>
          <w:tcPr>
            <w:tcW w:w="154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180" w:type="dxa"/>
            <w:vAlign w:val="bottom"/>
            <w:tcBorders>
              <w:left w:val="single" w:sz="8" w:color="B6B6B6"/>
              <w:right w:val="single" w:sz="8" w:color="B6B6B6"/>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2023</w:t>
            </w:r>
          </w:p>
        </w:tc>
        <w:tc>
          <w:tcPr>
            <w:tcW w:w="1920" w:type="dxa"/>
            <w:vAlign w:val="bottom"/>
            <w:tcBorders>
              <w:right w:val="single" w:sz="8" w:color="B6B6B6"/>
            </w:tcBorders>
            <w:shd w:val="clear" w:color="auto" w:fill="FAF6EF"/>
          </w:tcPr>
          <w:p>
            <w:pPr>
              <w:jc w:val="center"/>
              <w:spacing w:after="0"/>
              <w:rPr>
                <w:sz w:val="20"/>
                <w:szCs w:val="20"/>
                <w:color w:val="auto"/>
              </w:rPr>
            </w:pPr>
            <w:r>
              <w:rPr>
                <w:rFonts w:ascii="Arial" w:cs="Arial" w:eastAsia="Arial" w:hAnsi="Arial"/>
                <w:sz w:val="16"/>
                <w:szCs w:val="16"/>
                <w:color w:val="auto"/>
                <w:w w:val="98"/>
              </w:rPr>
              <w:t>8,903,959</w:t>
            </w:r>
          </w:p>
        </w:tc>
        <w:tc>
          <w:tcPr>
            <w:tcW w:w="1560" w:type="dxa"/>
            <w:vAlign w:val="bottom"/>
            <w:tcBorders>
              <w:right w:val="single" w:sz="8" w:color="B6B6B6"/>
            </w:tcBorders>
            <w:shd w:val="clear" w:color="auto" w:fill="FAF6EF"/>
          </w:tcPr>
          <w:p>
            <w:pPr>
              <w:jc w:val="center"/>
              <w:spacing w:after="0"/>
              <w:rPr>
                <w:sz w:val="20"/>
                <w:szCs w:val="20"/>
                <w:color w:val="auto"/>
              </w:rPr>
            </w:pPr>
            <w:r>
              <w:rPr>
                <w:rFonts w:ascii="Arial" w:cs="Arial" w:eastAsia="Arial" w:hAnsi="Arial"/>
                <w:sz w:val="16"/>
                <w:szCs w:val="16"/>
                <w:color w:val="auto"/>
                <w:w w:val="97"/>
              </w:rPr>
              <w:t>(8,410,289)</w:t>
            </w:r>
          </w:p>
        </w:tc>
        <w:tc>
          <w:tcPr>
            <w:tcW w:w="1560" w:type="dxa"/>
            <w:vAlign w:val="bottom"/>
            <w:tcBorders>
              <w:right w:val="single" w:sz="8" w:color="B6B6B6"/>
            </w:tcBorders>
            <w:shd w:val="clear" w:color="auto" w:fill="FAF6EF"/>
          </w:tcPr>
          <w:p>
            <w:pPr>
              <w:jc w:val="center"/>
              <w:spacing w:after="0"/>
              <w:rPr>
                <w:sz w:val="20"/>
                <w:szCs w:val="20"/>
                <w:color w:val="auto"/>
              </w:rPr>
            </w:pPr>
            <w:r>
              <w:rPr>
                <w:rFonts w:ascii="Arial" w:cs="Arial" w:eastAsia="Arial" w:hAnsi="Arial"/>
                <w:sz w:val="16"/>
                <w:szCs w:val="16"/>
                <w:color w:val="auto"/>
              </w:rPr>
              <w:t>409,825</w:t>
            </w:r>
          </w:p>
        </w:tc>
        <w:tc>
          <w:tcPr>
            <w:tcW w:w="1940" w:type="dxa"/>
            <w:vAlign w:val="bottom"/>
            <w:tcBorders>
              <w:right w:val="single" w:sz="8" w:color="B6B6B6"/>
            </w:tcBorders>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540" w:type="dxa"/>
            <w:vAlign w:val="bottom"/>
            <w:tcBorders>
              <w:right w:val="single" w:sz="8" w:color="B6B6B6"/>
            </w:tcBorders>
            <w:gridSpan w:val="2"/>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154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903,495</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w:t>
      </w:r>
    </w:p>
    <w:p>
      <w:pPr>
        <w:spacing w:after="0" w:line="76" w:lineRule="exact"/>
        <w:rPr>
          <w:sz w:val="20"/>
          <w:szCs w:val="20"/>
          <w:color w:val="auto"/>
        </w:rPr>
      </w:pPr>
    </w:p>
    <w:p>
      <w:pPr>
        <w:ind w:left="220" w:hanging="215"/>
        <w:spacing w:after="0"/>
        <w:tabs>
          <w:tab w:leader="none" w:pos="220" w:val="left"/>
        </w:tabs>
        <w:numPr>
          <w:ilvl w:val="0"/>
          <w:numId w:val="94"/>
        </w:numPr>
        <w:rPr>
          <w:rFonts w:ascii="Arial" w:cs="Arial" w:eastAsia="Arial" w:hAnsi="Arial"/>
          <w:sz w:val="13"/>
          <w:szCs w:val="13"/>
          <w:color w:val="7D7D7D"/>
        </w:rPr>
      </w:pPr>
      <w:r>
        <w:rPr>
          <w:rFonts w:ascii="Arial" w:cs="Arial" w:eastAsia="Arial" w:hAnsi="Arial"/>
          <w:sz w:val="13"/>
          <w:szCs w:val="13"/>
          <w:color w:val="7D7D7D"/>
        </w:rPr>
        <w:t>Represents the average grant date fair value of the equity awards to our non-CEO NEOs, as reported in the “Stock Awards” column in the Summary Compensation Table for 2023.</w:t>
      </w:r>
    </w:p>
    <w:p>
      <w:pPr>
        <w:spacing w:after="0" w:line="60" w:lineRule="exact"/>
        <w:rPr>
          <w:sz w:val="20"/>
          <w:szCs w:val="20"/>
          <w:color w:val="auto"/>
        </w:rPr>
      </w:pPr>
    </w:p>
    <w:p>
      <w:pPr>
        <w:jc w:val="both"/>
        <w:ind w:left="240" w:right="20" w:hanging="235"/>
        <w:spacing w:after="0" w:line="270" w:lineRule="auto"/>
        <w:tabs>
          <w:tab w:leader="none" w:pos="226" w:val="left"/>
        </w:tabs>
        <w:numPr>
          <w:ilvl w:val="0"/>
          <w:numId w:val="95"/>
        </w:numPr>
        <w:rPr>
          <w:rFonts w:ascii="Arial" w:cs="Arial" w:eastAsia="Arial" w:hAnsi="Arial"/>
          <w:sz w:val="14"/>
          <w:szCs w:val="14"/>
          <w:color w:val="7D7D7D"/>
        </w:rPr>
      </w:pPr>
      <w:r>
        <w:rPr>
          <w:rFonts w:ascii="Arial" w:cs="Arial" w:eastAsia="Arial" w:hAnsi="Arial"/>
          <w:sz w:val="14"/>
          <w:szCs w:val="14"/>
          <w:color w:val="7D7D7D"/>
        </w:rPr>
        <w:t>Represents the average year-over-year change in the fair value of equity awards to our non-CEO NEOs, as itemized in the table below. No awards vested in the year they were granted, and there is no value to report for dividends or other earnings on stock awards in the applicable year prior to the vesting date that were not otherwise reflected in the fair value of such awards.</w:t>
      </w:r>
    </w:p>
    <w:p>
      <w:pPr>
        <w:spacing w:after="0" w:line="159" w:lineRule="exact"/>
        <w:rPr>
          <w:sz w:val="20"/>
          <w:szCs w:val="20"/>
          <w:color w:val="auto"/>
        </w:rPr>
      </w:pPr>
    </w:p>
    <w:tbl>
      <w:tblPr>
        <w:tblLayout w:type="fixed"/>
        <w:tblInd w:w="250" w:type="dxa"/>
        <w:tblCellMar>
          <w:top w:w="0" w:type="dxa"/>
          <w:left w:w="0" w:type="dxa"/>
          <w:bottom w:w="0" w:type="dxa"/>
          <w:right w:w="0" w:type="dxa"/>
        </w:tblCellMar>
      </w:tblPr>
      <w:tr>
        <w:trPr>
          <w:trHeight w:val="187"/>
        </w:trPr>
        <w:tc>
          <w:tcPr>
            <w:tcW w:w="9420" w:type="dxa"/>
            <w:vAlign w:val="bottom"/>
            <w:tcBorders>
              <w:left w:val="single" w:sz="8" w:color="3C3C3C"/>
              <w:right w:val="single" w:sz="8" w:color="3C3C3C"/>
            </w:tcBorders>
            <w:vMerge w:val="restart"/>
            <w:shd w:val="clear" w:color="auto" w:fill="3C3C3C"/>
          </w:tcPr>
          <w:p>
            <w:pPr>
              <w:ind w:left="120"/>
              <w:spacing w:after="0"/>
              <w:rPr>
                <w:sz w:val="20"/>
                <w:szCs w:val="20"/>
                <w:color w:val="auto"/>
              </w:rPr>
            </w:pPr>
            <w:r>
              <w:rPr>
                <w:rFonts w:ascii="Arial" w:cs="Arial" w:eastAsia="Arial" w:hAnsi="Arial"/>
                <w:sz w:val="14"/>
                <w:szCs w:val="14"/>
                <w:b w:val="1"/>
                <w:bCs w:val="1"/>
                <w:color w:val="FFFFFF"/>
              </w:rPr>
              <w:t>Average Fair Value of Equity Awards for Non-CEO NEOs</w:t>
            </w:r>
          </w:p>
        </w:tc>
        <w:tc>
          <w:tcPr>
            <w:tcW w:w="124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6"/>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9420" w:type="dxa"/>
            <w:vAlign w:val="bottom"/>
            <w:tcBorders>
              <w:left w:val="single" w:sz="8" w:color="3C3C3C"/>
              <w:right w:val="single" w:sz="8" w:color="3C3C3C"/>
            </w:tcBorders>
            <w:vMerge w:val="continue"/>
            <w:shd w:val="clear" w:color="auto" w:fill="3C3C3C"/>
          </w:tcPr>
          <w:p>
            <w:pPr>
              <w:spacing w:after="0"/>
              <w:rPr>
                <w:sz w:val="8"/>
                <w:szCs w:val="8"/>
                <w:color w:val="auto"/>
              </w:rPr>
            </w:pPr>
          </w:p>
        </w:tc>
        <w:tc>
          <w:tcPr>
            <w:tcW w:w="124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420" w:type="dxa"/>
            <w:vAlign w:val="bottom"/>
            <w:tcBorders>
              <w:left w:val="single" w:sz="8" w:color="3C3C3C"/>
              <w:right w:val="single" w:sz="8" w:color="3C3C3C"/>
            </w:tcBorders>
            <w:shd w:val="clear" w:color="auto" w:fill="3C3C3C"/>
          </w:tcPr>
          <w:p>
            <w:pPr>
              <w:spacing w:after="0"/>
              <w:rPr>
                <w:sz w:val="9"/>
                <w:szCs w:val="9"/>
                <w:color w:val="auto"/>
              </w:rPr>
            </w:pPr>
          </w:p>
        </w:tc>
        <w:tc>
          <w:tcPr>
            <w:tcW w:w="1240" w:type="dxa"/>
            <w:vAlign w:val="bottom"/>
            <w:vMerge w:val="continue"/>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9420" w:type="dxa"/>
            <w:vAlign w:val="bottom"/>
            <w:tcBorders>
              <w:left w:val="single" w:sz="8" w:color="B6B6B6"/>
              <w:right w:val="single" w:sz="8" w:color="B6B6B6"/>
            </w:tcBorders>
            <w:shd w:val="clear" w:color="auto" w:fill="FAF6EF"/>
          </w:tcPr>
          <w:p>
            <w:pPr>
              <w:ind w:left="100"/>
              <w:spacing w:after="0"/>
              <w:rPr>
                <w:sz w:val="20"/>
                <w:szCs w:val="20"/>
                <w:color w:val="auto"/>
              </w:rPr>
            </w:pPr>
            <w:r>
              <w:rPr>
                <w:rFonts w:ascii="Arial" w:cs="Arial" w:eastAsia="Arial" w:hAnsi="Arial"/>
                <w:sz w:val="16"/>
                <w:szCs w:val="16"/>
                <w:color w:val="auto"/>
              </w:rPr>
              <w:t>As of year-end for awards granted during the year</w:t>
            </w:r>
          </w:p>
        </w:tc>
        <w:tc>
          <w:tcPr>
            <w:tcW w:w="124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8"/>
              </w:rPr>
              <w:t>4,841,157</w:t>
            </w:r>
          </w:p>
        </w:tc>
        <w:tc>
          <w:tcPr>
            <w:tcW w:w="20" w:type="dxa"/>
            <w:vAlign w:val="bottom"/>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420" w:type="dxa"/>
            <w:vAlign w:val="bottom"/>
            <w:tcBorders>
              <w:left w:val="single" w:sz="8" w:color="B6B6B6"/>
              <w:right w:val="single" w:sz="8" w:color="B6B6B6"/>
            </w:tcBorders>
          </w:tcPr>
          <w:p>
            <w:pPr>
              <w:ind w:left="100"/>
              <w:spacing w:after="0"/>
              <w:rPr>
                <w:sz w:val="20"/>
                <w:szCs w:val="20"/>
                <w:color w:val="auto"/>
              </w:rPr>
            </w:pPr>
            <w:r>
              <w:rPr>
                <w:rFonts w:ascii="Arial" w:cs="Arial" w:eastAsia="Arial" w:hAnsi="Arial"/>
                <w:sz w:val="16"/>
                <w:szCs w:val="16"/>
                <w:color w:val="auto"/>
              </w:rPr>
              <w:t>Year-over-year increase (decrease) of unvested awards granted in prior years</w:t>
            </w: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(1,863,907)</w:t>
            </w:r>
          </w:p>
        </w:tc>
        <w:tc>
          <w:tcPr>
            <w:tcW w:w="20" w:type="dxa"/>
            <w:vAlign w:val="bottom"/>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420" w:type="dxa"/>
            <w:vAlign w:val="bottom"/>
            <w:tcBorders>
              <w:left w:val="single" w:sz="8" w:color="B6B6B6"/>
              <w:right w:val="single" w:sz="8" w:color="B6B6B6"/>
            </w:tcBorders>
            <w:shd w:val="clear" w:color="auto" w:fill="FAF6EF"/>
          </w:tcPr>
          <w:p>
            <w:pPr>
              <w:ind w:left="100"/>
              <w:spacing w:after="0"/>
              <w:rPr>
                <w:sz w:val="20"/>
                <w:szCs w:val="20"/>
                <w:color w:val="auto"/>
              </w:rPr>
            </w:pPr>
            <w:r>
              <w:rPr>
                <w:rFonts w:ascii="Arial" w:cs="Arial" w:eastAsia="Arial" w:hAnsi="Arial"/>
                <w:sz w:val="16"/>
                <w:szCs w:val="16"/>
                <w:color w:val="auto"/>
              </w:rPr>
              <w:t>Increase (decrease) from prior fiscal year-end for awards that vested during the year</w:t>
            </w:r>
          </w:p>
        </w:tc>
        <w:tc>
          <w:tcPr>
            <w:tcW w:w="1240" w:type="dxa"/>
            <w:vAlign w:val="bottom"/>
            <w:tcBorders>
              <w:bottom w:val="single" w:sz="8" w:color="3C3C3C"/>
            </w:tcBorders>
            <w:shd w:val="clear" w:color="auto" w:fill="FAF6EF"/>
          </w:tcPr>
          <w:p>
            <w:pPr>
              <w:jc w:val="center"/>
              <w:spacing w:after="0"/>
              <w:rPr>
                <w:sz w:val="20"/>
                <w:szCs w:val="20"/>
                <w:color w:val="auto"/>
              </w:rPr>
            </w:pPr>
            <w:r>
              <w:rPr>
                <w:rFonts w:ascii="Arial" w:cs="Arial" w:eastAsia="Arial" w:hAnsi="Arial"/>
                <w:sz w:val="16"/>
                <w:szCs w:val="16"/>
                <w:color w:val="auto"/>
                <w:w w:val="97"/>
              </w:rPr>
              <w:t>(2,567,425)</w:t>
            </w:r>
          </w:p>
        </w:tc>
        <w:tc>
          <w:tcPr>
            <w:tcW w:w="20" w:type="dxa"/>
            <w:vAlign w:val="bottom"/>
            <w:tcBorders>
              <w:bottom w:val="single" w:sz="8" w:color="7D7D7D"/>
            </w:tcBorders>
            <w:shd w:val="clear" w:color="auto" w:fill="7D7D7D"/>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9420" w:type="dxa"/>
            <w:vAlign w:val="bottom"/>
            <w:tcBorders>
              <w:left w:val="single" w:sz="8" w:color="B6B6B6"/>
              <w:right w:val="single" w:sz="8" w:color="B6B6B6"/>
            </w:tcBorders>
          </w:tcPr>
          <w:p>
            <w:pPr>
              <w:ind w:left="220"/>
              <w:spacing w:after="0"/>
              <w:rPr>
                <w:sz w:val="20"/>
                <w:szCs w:val="20"/>
                <w:color w:val="auto"/>
              </w:rPr>
            </w:pPr>
            <w:r>
              <w:rPr>
                <w:rFonts w:ascii="Arial" w:cs="Arial" w:eastAsia="Arial" w:hAnsi="Arial"/>
                <w:sz w:val="16"/>
                <w:szCs w:val="16"/>
                <w:b w:val="1"/>
                <w:bCs w:val="1"/>
                <w:color w:val="auto"/>
              </w:rPr>
              <w:t>Total Average Equity Award Adjustment</w:t>
            </w:r>
          </w:p>
        </w:tc>
        <w:tc>
          <w:tcPr>
            <w:tcW w:w="1240" w:type="dxa"/>
            <w:vAlign w:val="bottom"/>
            <w:tcBorders>
              <w:bottom w:val="single" w:sz="8" w:color="3C3C3C"/>
            </w:tcBorders>
          </w:tcPr>
          <w:p>
            <w:pPr>
              <w:jc w:val="center"/>
              <w:spacing w:after="0"/>
              <w:rPr>
                <w:sz w:val="20"/>
                <w:szCs w:val="20"/>
                <w:color w:val="auto"/>
              </w:rPr>
            </w:pPr>
            <w:r>
              <w:rPr>
                <w:rFonts w:ascii="Arial" w:cs="Arial" w:eastAsia="Arial" w:hAnsi="Arial"/>
                <w:sz w:val="16"/>
                <w:szCs w:val="16"/>
                <w:b w:val="1"/>
                <w:bCs w:val="1"/>
                <w:color w:val="auto"/>
                <w:w w:val="98"/>
              </w:rPr>
              <w:t>$409,825</w:t>
            </w:r>
          </w:p>
        </w:tc>
        <w:tc>
          <w:tcPr>
            <w:tcW w:w="20" w:type="dxa"/>
            <w:vAlign w:val="bottom"/>
            <w:tcBorders>
              <w:bottom w:val="single" w:sz="8" w:color="3C3C3C"/>
            </w:tcBorders>
            <w:shd w:val="clear" w:color="auto" w:fill="7D7D7D"/>
          </w:tcPr>
          <w:p>
            <w:pPr>
              <w:spacing w:after="0"/>
              <w:rPr>
                <w:sz w:val="23"/>
                <w:szCs w:val="23"/>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20" w:hanging="215"/>
        <w:spacing w:after="0"/>
        <w:tabs>
          <w:tab w:leader="none" w:pos="220" w:val="left"/>
        </w:tabs>
        <w:numPr>
          <w:ilvl w:val="0"/>
          <w:numId w:val="96"/>
        </w:numPr>
        <w:rPr>
          <w:rFonts w:ascii="Arial" w:cs="Arial" w:eastAsia="Arial" w:hAnsi="Arial"/>
          <w:sz w:val="14"/>
          <w:szCs w:val="14"/>
          <w:color w:val="7D7D7D"/>
        </w:rPr>
      </w:pPr>
      <w:r>
        <w:rPr>
          <w:rFonts w:ascii="Arial" w:cs="Arial" w:eastAsia="Arial" w:hAnsi="Arial"/>
          <w:sz w:val="14"/>
          <w:szCs w:val="14"/>
          <w:color w:val="7D7D7D"/>
        </w:rPr>
        <w:t>No pension benefit plans are offered by Enphase.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68" w:right="319" w:bottom="1440" w:gutter="0" w:footer="0" w:header="0"/>
        </w:sectPr>
      </w:pPr>
    </w:p>
    <w:bookmarkStart w:id="66" w:name="page67"/>
    <w:bookmarkEnd w:id="66"/>
    <w:p>
      <w:pPr>
        <w:spacing w:after="0"/>
        <w:rPr>
          <w:sz w:val="20"/>
          <w:szCs w:val="20"/>
          <w:color w:val="auto"/>
        </w:rPr>
      </w:pPr>
      <w:r>
        <w:rPr>
          <w:rFonts w:ascii="Arial" w:cs="Arial" w:eastAsia="Arial" w:hAnsi="Arial"/>
          <w:sz w:val="31"/>
          <w:szCs w:val="31"/>
          <w:b w:val="1"/>
          <w:bCs w:val="1"/>
          <w:color w:val="auto"/>
        </w:rPr>
        <w:t>Financial Performance Measures</w:t>
      </w:r>
    </w:p>
    <w:p>
      <w:pPr>
        <w:spacing w:after="0" w:line="26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following table identifies the four most important financial performance measures used by the Compensation Committee to link the “compensation actually paid” to our CEO and other NEOs in 2023, calculated in accordance with SEC regulations, to company performance. The role of each of these performance measures in our NEOs’ compensation is discussed in the CD&amp;A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36765" cy="140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45020" cy="5975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5020" cy="597535"/>
                    </a:xfrm>
                    <a:prstGeom prst="rect">
                      <a:avLst/>
                    </a:prstGeom>
                    <a:noFill/>
                  </pic:spPr>
                </pic:pic>
              </a:graphicData>
            </a:graphic>
          </wp:anchor>
        </w:drawing>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Net Revenues</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Non-GAAP Gross Margin</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Total Stockholder Return</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Free Cash Flow</w:t>
      </w:r>
    </w:p>
    <w:p>
      <w:pPr>
        <w:spacing w:after="0" w:line="341"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Below are graphs showing the relationship of “compensation actually paid” to our CEO and other NEOs in 2023, 2022, 2021 and 2020 to (1) our TSR and the TSR of the Invesco Solar ETF, (2) our net income and (3) our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63500</wp:posOffset>
            </wp:positionV>
            <wp:extent cx="5725795" cy="4240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25795" cy="424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i w:val="1"/>
          <w:iCs w:val="1"/>
          <w:color w:val="auto"/>
        </w:rPr>
        <w:t>All information provided above under the “Pay Versus Performance” heading will not be deemed to be incorporated by reference into any filing of Enphase under the Securities Act or the Exchange Act, whether made before or after the date hereof and irrespective of any general incorporation language in any such filing, except to the extent we specifically incorporate such information by reference.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7" w:name="page68"/>
    <w:bookmarkEnd w:id="67"/>
    <w:p>
      <w:pPr>
        <w:spacing w:after="0"/>
        <w:rPr>
          <w:sz w:val="20"/>
          <w:szCs w:val="20"/>
          <w:color w:val="auto"/>
        </w:rPr>
      </w:pPr>
      <w:r>
        <w:rPr>
          <w:rFonts w:ascii="Arial" w:cs="Arial" w:eastAsia="Arial" w:hAnsi="Arial"/>
          <w:sz w:val="42"/>
          <w:szCs w:val="42"/>
          <w:b w:val="1"/>
          <w:bCs w:val="1"/>
          <w:color w:val="F45270"/>
        </w:rPr>
        <w:t>Proposal 2</w:t>
      </w:r>
    </w:p>
    <w:p>
      <w:pPr>
        <w:spacing w:after="0" w:line="31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Advisory Vote to Approve Executive Compensation</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Under the Dodd-Frank Act and Section 14A of the Exchange Act, our stockholders are entitled to vote to approve, on an advisory basis, the compensation of our NEOs as disclosed in this proxy statement in accordance with SEC rules. We are seeking an advisory vote from our stockholders to approve the compensation paid to our NEOs, as disclosed in this proxy statement.</w:t>
      </w:r>
    </w:p>
    <w:p>
      <w:pPr>
        <w:spacing w:after="0" w:line="1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Compensation Committee, with assistance from an external compensation consultant, has structured our executive compensation program to stress a pay-for-performance philosophy. The compensation opportunities provided to our NEOs are significantly dependent on our financial performance, the performance of our stock and rigorous corporate goals, which are intended to drive creation of sustainable stockholder value. The Compensation Committee will continue to emphasize what it believes to be responsible compensation arrangements that attract, retain and motivate high-caliber executive officers, and motivate those officers to achieve our short- and long-term business strategies and objectives.</w:t>
      </w:r>
    </w:p>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You have the opportunity to vote “FOR” or “AGAINST” or to “ABSTAIN” from voting to approve, on an advisory basis, the compensation paid to our NEOs as disclosed in this proxy statement. In deciding how to vote on this proposal, we encourage you to consider our executive compensation philosophy and objectives, and the design principles and the elements of our executive compensation program. As described in this proxy statement, a guiding principle of our compensation philosophy is that compensation should be linked to performance and that the interests of our executives and stockholders should be aligned. Our compensation program is a mix of short- and long-term components, cash and equity elements and fixed and contingent payments in proportions we believe will provide the proper incentives, reward our NEOs and help us achieve our goals and increase stockholder value. For example:</w:t>
      </w:r>
    </w:p>
    <w:p>
      <w:pPr>
        <w:spacing w:after="0" w:line="134" w:lineRule="exact"/>
        <w:rPr>
          <w:sz w:val="20"/>
          <w:szCs w:val="20"/>
          <w:color w:val="auto"/>
        </w:rPr>
      </w:pPr>
    </w:p>
    <w:p>
      <w:pPr>
        <w:ind w:left="300" w:hanging="139"/>
        <w:spacing w:after="0"/>
        <w:tabs>
          <w:tab w:leader="none" w:pos="300" w:val="left"/>
        </w:tabs>
        <w:numPr>
          <w:ilvl w:val="0"/>
          <w:numId w:val="97"/>
        </w:numPr>
        <w:rPr>
          <w:rFonts w:ascii="Arial" w:cs="Arial" w:eastAsia="Arial" w:hAnsi="Arial"/>
          <w:sz w:val="12"/>
          <w:szCs w:val="12"/>
          <w:color w:val="auto"/>
        </w:rPr>
      </w:pPr>
      <w:r>
        <w:rPr>
          <w:rFonts w:ascii="Arial" w:cs="Arial" w:eastAsia="Arial" w:hAnsi="Arial"/>
          <w:sz w:val="16"/>
          <w:szCs w:val="16"/>
          <w:color w:val="auto"/>
        </w:rPr>
        <w:t>Our NEOs receive a market-based compensation package.</w:t>
      </w:r>
    </w:p>
    <w:p>
      <w:pPr>
        <w:spacing w:after="0" w:line="181" w:lineRule="exact"/>
        <w:rPr>
          <w:rFonts w:ascii="Arial" w:cs="Arial" w:eastAsia="Arial" w:hAnsi="Arial"/>
          <w:sz w:val="12"/>
          <w:szCs w:val="12"/>
          <w:color w:val="auto"/>
        </w:rPr>
      </w:pPr>
    </w:p>
    <w:p>
      <w:pPr>
        <w:ind w:left="320" w:hanging="159"/>
        <w:spacing w:after="0" w:line="318" w:lineRule="auto"/>
        <w:tabs>
          <w:tab w:leader="none" w:pos="297" w:val="left"/>
        </w:tabs>
        <w:numPr>
          <w:ilvl w:val="0"/>
          <w:numId w:val="97"/>
        </w:numPr>
        <w:rPr>
          <w:rFonts w:ascii="Arial" w:cs="Arial" w:eastAsia="Arial" w:hAnsi="Arial"/>
          <w:sz w:val="12"/>
          <w:szCs w:val="12"/>
          <w:color w:val="auto"/>
        </w:rPr>
      </w:pPr>
      <w:r>
        <w:rPr>
          <w:rFonts w:ascii="Arial" w:cs="Arial" w:eastAsia="Arial" w:hAnsi="Arial"/>
          <w:sz w:val="16"/>
          <w:szCs w:val="16"/>
          <w:color w:val="auto"/>
        </w:rPr>
        <w:t>Our NEOs’ compensation is substantially tied to performance. A significant portion of their cash and equity compensation is based upon our financial performance along with TSR performance.</w:t>
      </w:r>
    </w:p>
    <w:p>
      <w:pPr>
        <w:spacing w:after="0" w:line="11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philosophy, policies and practices described in this proxy statement. The compensation of our NEOs subject to the vote is disclosed in the compensation tables and the related narrative disclosure contained in this proxy statement. As discussed in those disclosures, we believe that our compensation policies and decisions are focused on pay-for-performance principles and strongly aligned with our stockholders’ interests. Compensation of our NEOs is designed to enable us to attract and retain talented and experienced executives to lead us successfully in a competitive environment.</w:t>
      </w:r>
    </w:p>
    <w:p>
      <w:pPr>
        <w:spacing w:after="0" w:line="13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Accordingly, the Board is asking the stockholders to indicate their support for the compensation of our NEOs as described in this proxy statement by casting a non-binding advisory vote “FOR” the following resolution:</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“RESOLVED, that the compensation paid to the Company’s NEOs, as disclosed pursuant to Item 402 of Regulation S-K, including the Compensation Discussion and Analysis, compensation tables and narrative discussion is APPROVED.”</w:t>
      </w:r>
    </w:p>
    <w:p>
      <w:pPr>
        <w:spacing w:after="0" w:line="12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While your vote on this proposal is advisory and will not be binding on the Compensation Committee, the Board or Enphase, we value the opinions of our stockholders on executive compensation matters and will take the results of this advisory vote into consideration when making future decisions regarding our executive compensation program.</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Vote Required</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Approval of this Proposal 2 requires “FOR” votes from the holders of a majority of shares present in person or virtually or represented by proxy and entitled to vote on the matter at the Annual Meeting. If you “ABSTAIN” from voting, it will have the same effect as an “AGAINST” vote.</w:t>
      </w:r>
    </w:p>
    <w:p>
      <w:pPr>
        <w:spacing w:after="0" w:line="10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 xml:space="preserve">The Board of Directors recommends a vote </w:t>
      </w:r>
      <w:r>
        <w:rPr>
          <w:rFonts w:ascii="Arial" w:cs="Arial" w:eastAsia="Arial" w:hAnsi="Arial"/>
          <w:sz w:val="24"/>
          <w:szCs w:val="24"/>
          <w:b w:val="1"/>
          <w:bCs w:val="1"/>
          <w:color w:val="E86100"/>
        </w:rPr>
        <w:t>FOR</w:t>
      </w:r>
      <w:r>
        <w:rPr>
          <w:rFonts w:ascii="Arial" w:cs="Arial" w:eastAsia="Arial" w:hAnsi="Arial"/>
          <w:sz w:val="24"/>
          <w:szCs w:val="24"/>
          <w:b w:val="1"/>
          <w:bCs w:val="1"/>
          <w:color w:val="auto"/>
        </w:rPr>
        <w:t xml:space="preserve"> Proposal 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68" w:name="page69"/>
    <w:bookmarkEnd w:id="68"/>
    <w:p>
      <w:pPr>
        <w:spacing w:after="0"/>
        <w:rPr>
          <w:sz w:val="20"/>
          <w:szCs w:val="20"/>
          <w:color w:val="auto"/>
        </w:rPr>
      </w:pPr>
      <w:r>
        <w:rPr>
          <w:rFonts w:ascii="Arial" w:cs="Arial" w:eastAsia="Arial" w:hAnsi="Arial"/>
          <w:sz w:val="42"/>
          <w:szCs w:val="42"/>
          <w:b w:val="1"/>
          <w:bCs w:val="1"/>
          <w:color w:val="2C436F"/>
        </w:rPr>
        <w:t>Proposal 3</w:t>
      </w:r>
    </w:p>
    <w:p>
      <w:pPr>
        <w:spacing w:after="0" w:line="314" w:lineRule="exact"/>
        <w:rPr>
          <w:sz w:val="20"/>
          <w:szCs w:val="20"/>
          <w:color w:val="auto"/>
        </w:rPr>
      </w:pPr>
    </w:p>
    <w:p>
      <w:pPr>
        <w:ind w:right="1340"/>
        <w:spacing w:after="0" w:line="297" w:lineRule="auto"/>
        <w:rPr>
          <w:sz w:val="20"/>
          <w:szCs w:val="20"/>
          <w:color w:val="auto"/>
        </w:rPr>
      </w:pPr>
      <w:r>
        <w:rPr>
          <w:rFonts w:ascii="Arial" w:cs="Arial" w:eastAsia="Arial" w:hAnsi="Arial"/>
          <w:sz w:val="31"/>
          <w:szCs w:val="31"/>
          <w:b w:val="1"/>
          <w:bCs w:val="1"/>
          <w:color w:val="auto"/>
        </w:rPr>
        <w:t>Advisory Vote on the Frequency of Stockholder Advisory Votes on Executive Compensation</w:t>
      </w:r>
    </w:p>
    <w:p>
      <w:pPr>
        <w:spacing w:after="0" w:line="10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accordance with the requirements of Section 14A of the Exchange Act and the related rules of the SEC, our stockholders are also entitled to vote, on an advisory basis, on whether the advisory, non-binding vote on the compensation of our NEOs (commonly referred to as a “say-on-pay” vote), as required by Section 14A of the Exchange Act, should occur every one, two or three years. The vote on the frequency of the say-on-pay vote, just as with the say-on-pay vote itself, is advisory only, and it also is not binding on Enphase or on the Board. Although the vote is non-binding, the Compensation Committee and the Board will carefully consider the outcome of the vote when determining the frequency of future stockholder advisory votes to approve the compensation of our NEOs. Our stockholders voted on a similar proposal in 2018, with the majority voting to hold a say-on-pay vote every year.</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After careful consideration, the Board has determined that a say-on-pay vote that occurs every year is the most appropriate alternative for our company at this time. The Board believes that an annual advisory say-on-pay vote will allow our stockholders to provide timely, direct input on our executive compensation philosophy, policies and practices as disclosed in the proxy statement each year. Therefore, the Board recommends that you vote for a “1 YEAR” frequency for the say-on-pay vote.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Although the Board recommends a say-on-pay vote to be held every year, you may vote on one of four choices for this Proposal 3 on the proxy card: “1 YEAR”, “2</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YEARS”, “3 YEARS” or “ABSTAIN.” The text of the resolution in respect of this Proposal 3 is as follows:</w:t>
      </w:r>
    </w:p>
    <w:p>
      <w:pPr>
        <w:spacing w:after="0" w:line="19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“RESOLVED, that the option of once every 1 year, 2 years, or 3 years that receives a majority of votes for this resolution will be determined to be the preferred frequency with which the Company is to hold an advisory stockholder vote to approve the compensation paid to the Company’s NEOs, as disclosed pursuant to Item 402 of Regulation S-K, including the Compensation Discussion and Analysis, compensation tables and narrative discussion.”</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Vote Required</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option of once every 1 year, 2 years or 3 years that receives a majority of votes from the holders of shares present in person or virtually or represented by proxy and entitled to vote on the matter at the Annual Meeting will be determined to be the preferred frequency with which we are to hold “a "say-on-pay” vote. Because this proposal has multiple choices, it is possible that no choice will receive an affirmative vote of a majority of shares present in person or virtually or represented by proxy and entitled to vote on this matter at the Annual Meeting. In such case, the Compensation Committee and the Board will consider the choice that received the most votes present in person or virtually or represented by proxy and entitled to vote on this matter. This matter is non-routine; thus, if you hold your shares in street name, your broker may not vote your shares for you.</w:t>
      </w:r>
    </w:p>
    <w:p>
      <w:pPr>
        <w:spacing w:after="0" w:line="1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 xml:space="preserve">The Board of Directors recommends a vote of </w:t>
      </w:r>
      <w:r>
        <w:rPr>
          <w:rFonts w:ascii="Arial" w:cs="Arial" w:eastAsia="Arial" w:hAnsi="Arial"/>
          <w:sz w:val="24"/>
          <w:szCs w:val="24"/>
          <w:b w:val="1"/>
          <w:bCs w:val="1"/>
          <w:color w:val="E86100"/>
        </w:rPr>
        <w:t>1YEAR</w:t>
      </w:r>
      <w:r>
        <w:rPr>
          <w:rFonts w:ascii="Arial" w:cs="Arial" w:eastAsia="Arial" w:hAnsi="Arial"/>
          <w:sz w:val="24"/>
          <w:szCs w:val="24"/>
          <w:b w:val="1"/>
          <w:bCs w:val="1"/>
          <w:color w:val="auto"/>
        </w:rPr>
        <w:t xml:space="preserve"> for Proposal 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69" w:name="page70"/>
    <w:bookmarkEnd w:id="69"/>
    <w:p>
      <w:pPr>
        <w:spacing w:after="0"/>
        <w:rPr>
          <w:sz w:val="20"/>
          <w:szCs w:val="20"/>
          <w:color w:val="auto"/>
        </w:rPr>
      </w:pPr>
      <w:r>
        <w:rPr>
          <w:rFonts w:ascii="Arial" w:cs="Arial" w:eastAsia="Arial" w:hAnsi="Arial"/>
          <w:sz w:val="42"/>
          <w:szCs w:val="42"/>
          <w:b w:val="1"/>
          <w:bCs w:val="1"/>
          <w:color w:val="3B999E"/>
        </w:rPr>
        <w:t>Proposal 4</w:t>
      </w:r>
    </w:p>
    <w:p>
      <w:pPr>
        <w:spacing w:after="0" w:line="31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Ratification of Selection of Independent Registered Public Accounting Firm</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Audit Committee has selected Deloitte as our independent registered public accounting firm for the fiscal year ending December 31, 2024. Deloitte has audited our financial statements since 2010. Representatives of Deloitte are expected to be present at the Annual Meeting. They will have an opportunity to make a statement if they so desire and will be available to respond to appropriate questions.</w:t>
      </w:r>
    </w:p>
    <w:p>
      <w:pPr>
        <w:spacing w:after="0" w:line="124"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Neither our Bylaws nor other governing documents or law require stockholder ratification of the selection of Deloitte as our independent registered public accounting firm. The Board is submitting the selection of Deloitte to our stockholders for ratification as a matter of good corporate governance. However, the Audit Committee is not bound by a vote either for or against this proposal. The Audit Committee will consider a vote against Deloitte by the stockholders in selecting our independent registered public accounting firm in the future. Even if the selection is ratified, the Audit Committee in its discretion may direct the appointment of different independent auditors at any time during the year if they determine that such a change would be in the best interests of Enphase and its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Principal Accountant Fees and Services</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The following table represents aggregate fees billed to us for the fiscal years ended December 31, 2023 and 2022, by Deloitte ,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88265</wp:posOffset>
            </wp:positionV>
            <wp:extent cx="15436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685" cy="8255"/>
                    </a:xfrm>
                    <a:prstGeom prst="rect">
                      <a:avLst/>
                    </a:prstGeom>
                    <a:noFill/>
                  </pic:spPr>
                </pic:pic>
              </a:graphicData>
            </a:graphic>
          </wp:anchor>
        </w:drawing>
      </w:r>
    </w:p>
    <w:p>
      <w:pPr>
        <w:spacing w:after="0" w:line="149"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3C3C3C"/>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36765" cy="281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765" cy="281940"/>
                    </a:xfrm>
                    <a:prstGeom prst="rect">
                      <a:avLst/>
                    </a:prstGeom>
                    <a:noFill/>
                  </pic:spPr>
                </pic:pic>
              </a:graphicData>
            </a:graphic>
          </wp:anchor>
        </w:drawing>
      </w:r>
    </w:p>
    <w:p>
      <w:pPr>
        <w:spacing w:after="0" w:line="41" w:lineRule="exact"/>
        <w:rPr>
          <w:sz w:val="20"/>
          <w:szCs w:val="20"/>
          <w:color w:val="auto"/>
        </w:rPr>
      </w:pPr>
    </w:p>
    <w:p>
      <w:pPr>
        <w:ind w:left="9240"/>
        <w:spacing w:after="0"/>
        <w:tabs>
          <w:tab w:leader="none" w:pos="10480" w:val="left"/>
        </w:tabs>
        <w:rPr>
          <w:sz w:val="20"/>
          <w:szCs w:val="20"/>
          <w:color w:val="auto"/>
        </w:rPr>
      </w:pPr>
      <w:r>
        <w:rPr>
          <w:rFonts w:ascii="Arial" w:cs="Arial" w:eastAsia="Arial" w:hAnsi="Arial"/>
          <w:sz w:val="14"/>
          <w:szCs w:val="14"/>
          <w:b w:val="1"/>
          <w:bCs w:val="1"/>
          <w:color w:val="FFFFFF"/>
        </w:rPr>
        <w:t>2023</w:t>
      </w:r>
      <w:r>
        <w:rPr>
          <w:sz w:val="20"/>
          <w:szCs w:val="20"/>
          <w:color w:val="auto"/>
        </w:rPr>
        <w:tab/>
      </w:r>
      <w:r>
        <w:rPr>
          <w:rFonts w:ascii="Arial" w:cs="Arial" w:eastAsia="Arial" w:hAnsi="Arial"/>
          <w:sz w:val="14"/>
          <w:szCs w:val="14"/>
          <w:b w:val="1"/>
          <w:bCs w:val="1"/>
          <w:color w:val="FFFFFF"/>
        </w:rPr>
        <w:t>2022</w:t>
      </w:r>
    </w:p>
    <w:p>
      <w:pPr>
        <w:spacing w:after="0" w:line="61"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45020" cy="7715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5020" cy="77152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Audit fees</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Audit-related fees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Tax fees</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All other fees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Total fees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$3,106</w:t>
      </w:r>
      <w:r>
        <w:rPr>
          <w:sz w:val="20"/>
          <w:szCs w:val="20"/>
          <w:color w:val="auto"/>
        </w:rPr>
        <w:tab/>
      </w:r>
      <w:r>
        <w:rPr>
          <w:rFonts w:ascii="Arial" w:cs="Arial" w:eastAsia="Arial" w:hAnsi="Arial"/>
          <w:sz w:val="15"/>
          <w:szCs w:val="15"/>
          <w:color w:val="auto"/>
        </w:rPr>
        <w:t>$3,500</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126</w:t>
      </w:r>
    </w:p>
    <w:p>
      <w:pPr>
        <w:spacing w:after="0" w:line="51" w:lineRule="exact"/>
        <w:rPr>
          <w:sz w:val="20"/>
          <w:szCs w:val="20"/>
          <w:color w:val="auto"/>
        </w:rPr>
      </w:pPr>
    </w:p>
    <w:p>
      <w:pPr>
        <w:ind w:left="1420" w:hanging="1310"/>
        <w:spacing w:after="0"/>
        <w:tabs>
          <w:tab w:leader="none" w:pos="14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87</w:t>
      </w:r>
    </w:p>
    <w:p>
      <w:pPr>
        <w:spacing w:after="0" w:line="51"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83</w:t>
      </w:r>
      <w:r>
        <w:rPr>
          <w:rFonts w:ascii="Arial" w:cs="Arial" w:eastAsia="Arial" w:hAnsi="Arial"/>
          <w:sz w:val="13"/>
          <w:szCs w:val="13"/>
          <w:color w:val="auto"/>
        </w:rPr>
        <w:t>—</w:t>
      </w:r>
    </w:p>
    <w:p>
      <w:pPr>
        <w:spacing w:after="0" w:line="62"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$3,594</w:t>
      </w:r>
      <w:r>
        <w:rPr>
          <w:sz w:val="20"/>
          <w:szCs w:val="20"/>
          <w:color w:val="auto"/>
        </w:rPr>
        <w:tab/>
      </w:r>
      <w:r>
        <w:rPr>
          <w:rFonts w:ascii="Arial" w:cs="Arial" w:eastAsia="Arial" w:hAnsi="Arial"/>
          <w:sz w:val="15"/>
          <w:szCs w:val="15"/>
          <w:b w:val="1"/>
          <w:bCs w:val="1"/>
          <w:color w:val="auto"/>
        </w:rPr>
        <w:t>$3,713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49530</wp:posOffset>
            </wp:positionV>
            <wp:extent cx="15519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51940" cy="825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8440" w:space="720"/>
            <w:col w:w="2080"/>
          </w:cols>
          <w:pgMar w:left="320" w:top="751" w:right="339" w:bottom="1440" w:gutter="0" w:footer="0" w:header="0"/>
          <w:type w:val="continuous"/>
        </w:sectPr>
      </w:pPr>
    </w:p>
    <w:p>
      <w:pPr>
        <w:spacing w:after="0"/>
        <w:rPr>
          <w:sz w:val="20"/>
          <w:szCs w:val="20"/>
          <w:color w:val="auto"/>
        </w:rPr>
      </w:pPr>
      <w:r>
        <w:rPr>
          <w:rFonts w:ascii="Arial" w:cs="Arial" w:eastAsia="Arial" w:hAnsi="Arial"/>
          <w:sz w:val="21"/>
          <w:szCs w:val="21"/>
          <w:b w:val="1"/>
          <w:bCs w:val="1"/>
          <w:color w:val="auto"/>
        </w:rPr>
        <w:t>________</w:t>
      </w:r>
    </w:p>
    <w:p>
      <w:pPr>
        <w:spacing w:after="0" w:line="7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For 2023 and 2022, consists of fees for professional services rendered, including audit of financial statements presented in our Annual Report on Form</w:t>
      </w:r>
      <w:r>
        <w:rPr>
          <w:rFonts w:ascii="Arial" w:cs="Arial" w:eastAsia="Arial" w:hAnsi="Arial"/>
          <w:sz w:val="16"/>
          <w:szCs w:val="16"/>
          <w:i w:val="1"/>
          <w:iCs w:val="1"/>
          <w:color w:val="auto"/>
        </w:rPr>
        <w:t xml:space="preserve"> </w:t>
      </w:r>
      <w:r>
        <w:rPr>
          <w:rFonts w:ascii="Arial" w:cs="Arial" w:eastAsia="Arial" w:hAnsi="Arial"/>
          <w:sz w:val="16"/>
          <w:szCs w:val="16"/>
          <w:color w:val="auto"/>
        </w:rPr>
        <w:t>10-K, review of interim financial statements presented in our quarterly reports on Form 10-Q, services provided in connection with regulatory filings, business combinations, and other matters related to our periodic filings with the SEC.</w:t>
      </w:r>
    </w:p>
    <w:p>
      <w:pPr>
        <w:spacing w:after="0" w:line="124" w:lineRule="exact"/>
        <w:rPr>
          <w:sz w:val="20"/>
          <w:szCs w:val="20"/>
          <w:color w:val="auto"/>
        </w:rPr>
      </w:pPr>
    </w:p>
    <w:p>
      <w:pPr>
        <w:jc w:val="both"/>
        <w:spacing w:after="0" w:line="318"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Consists of fees for professional services for assurance and related services that are reasonably related to the performance of the audit or</w:t>
      </w:r>
      <w:r>
        <w:rPr>
          <w:rFonts w:ascii="Arial" w:cs="Arial" w:eastAsia="Arial" w:hAnsi="Arial"/>
          <w:sz w:val="16"/>
          <w:szCs w:val="16"/>
          <w:i w:val="1"/>
          <w:iCs w:val="1"/>
          <w:color w:val="auto"/>
        </w:rPr>
        <w:t xml:space="preserve"> </w:t>
      </w:r>
      <w:r>
        <w:rPr>
          <w:rFonts w:ascii="Arial" w:cs="Arial" w:eastAsia="Arial" w:hAnsi="Arial"/>
          <w:sz w:val="16"/>
          <w:szCs w:val="16"/>
          <w:color w:val="auto"/>
        </w:rPr>
        <w:t>review of our consolidated financial statements, including system implementation assessments, and are not reported under “Audit Fees”.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Consists of professional services rendered for tax compliance, tax advice and tax planning.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Consists of fees for professional services related to ESG attestation services.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All fees described above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1"/>
          <w:szCs w:val="21"/>
          <w:b w:val="1"/>
          <w:bCs w:val="1"/>
          <w:color w:val="auto"/>
        </w:rPr>
        <w:t>Pre-Approval Policies and Procedures</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Audit Committee has adopted a policy and procedures for the pre-approval of audit and non-audit services rendered by our independent registered public accounting firm, Deloitte. These services may include audit services, audit-related services, tax services and other services. Pre-approval may be given as part of the Audit Committee’s approval of the scope of the engagement of the independent registered public accounting firm or on an individual explicit case-by-case basis. The pre-approval of services may be delegated to one or more of the Audit Committee’s members, but the decision must be reported to the full Audit Committee at its next scheduled meeting.</w:t>
      </w:r>
    </w:p>
    <w:p>
      <w:pPr>
        <w:spacing w:after="0" w:line="13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The Audit Committee has determined that the rendering of services other than audit services by Deloitte is compatible with maintaining the principal accountant’s independence.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Vote Required</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Approval of this Proposal 4 requires “FOR” votes from the holders of a majority of shares present in person or virtually or represented by proxy and entitled to vote on the matter at the Annual Meeting. If you “ABSTAIN” from voting, it will have the same effect as an “AGAINST” vote.</w:t>
      </w:r>
    </w:p>
    <w:p>
      <w:pPr>
        <w:spacing w:after="0" w:line="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 xml:space="preserve">The Board of Directors recommends a vote </w:t>
      </w:r>
      <w:r>
        <w:rPr>
          <w:rFonts w:ascii="Arial" w:cs="Arial" w:eastAsia="Arial" w:hAnsi="Arial"/>
          <w:sz w:val="24"/>
          <w:szCs w:val="24"/>
          <w:b w:val="1"/>
          <w:bCs w:val="1"/>
          <w:color w:val="E86100"/>
        </w:rPr>
        <w:t>FOR</w:t>
      </w:r>
      <w:r>
        <w:rPr>
          <w:rFonts w:ascii="Arial" w:cs="Arial" w:eastAsia="Arial" w:hAnsi="Arial"/>
          <w:sz w:val="24"/>
          <w:szCs w:val="24"/>
          <w:b w:val="1"/>
          <w:bCs w:val="1"/>
          <w:color w:val="auto"/>
        </w:rPr>
        <w:t xml:space="preserve"> Proposal 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1" w:name="page72"/>
    <w:bookmarkEnd w:id="71"/>
    <w:p>
      <w:pPr>
        <w:spacing w:after="0"/>
        <w:rPr>
          <w:sz w:val="20"/>
          <w:szCs w:val="20"/>
          <w:color w:val="auto"/>
        </w:rPr>
      </w:pPr>
      <w:r>
        <w:rPr>
          <w:rFonts w:ascii="Arial" w:cs="Arial" w:eastAsia="Arial" w:hAnsi="Arial"/>
          <w:sz w:val="42"/>
          <w:szCs w:val="42"/>
          <w:b w:val="1"/>
          <w:bCs w:val="1"/>
          <w:color w:val="auto"/>
        </w:rPr>
        <w:t>Report of the Audit Committee of the Board*</w:t>
      </w:r>
    </w:p>
    <w:p>
      <w:pPr>
        <w:spacing w:after="0" w:line="3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 of March 22, 2024, the date of this report, the Audit Committee consisted of three members: Steven J. Gomo, who serves as the Chair of the Committee, Benjamin Kortlang and Richard Mora. Each member is an independent director under Nasdaq and SEC rules, and meets the standards for committee independence as set forth in our Corporate Governance Guidelines. The Audit Committee has the duties and powers described in its written charter adopted by the Board. A copy of the charter is available on our website at </w:t>
      </w:r>
      <w:r>
        <w:rPr>
          <w:rFonts w:ascii="Arial" w:cs="Arial" w:eastAsia="Arial" w:hAnsi="Arial"/>
          <w:sz w:val="16"/>
          <w:szCs w:val="16"/>
          <w:i w:val="1"/>
          <w:iCs w:val="1"/>
          <w:color w:val="auto"/>
        </w:rPr>
        <w:t>https://investor.enphase.com/corporate-governance</w:t>
      </w:r>
      <w:r>
        <w:rPr>
          <w:rFonts w:ascii="Arial" w:cs="Arial" w:eastAsia="Arial" w:hAnsi="Arial"/>
          <w:sz w:val="16"/>
          <w:szCs w:val="16"/>
          <w:color w:val="auto"/>
        </w:rPr>
        <w:t>.</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Audit Committee has reviewed and discussed the audited financial statements for the fiscal year ended December 31, 2023 with management.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the PCAOB regarding the independent accountants’ communications with the Audit Committee concerning independence, and has discussed with the independent registered public accounting firm the accounting firm’s independence. Based on the above, the Audit Committee recommended to the Board that the audited financial statements be included in our Annual Report on Form 10-K for the fiscal year ended December 31, 2023.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Steven J. Gomo, Chair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Benjamin Kortlang, Member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Richard Mora, Member</w:t>
      </w:r>
    </w:p>
    <w:p>
      <w:pPr>
        <w:spacing w:after="0" w:line="3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material in this report is not “soliciting material,” is furnished to, but not deemed “filed” with, the SEC and is not deemed to be incorporated by reference in any of our filings under the Securities Act or the Exchange Act, other than our Annual Report on Form 10-K for the fiscal year ended December 31, 2023, as filed with the SEC on February 9, 2024,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72" w:name="page73"/>
    <w:bookmarkEnd w:id="72"/>
    <w:p>
      <w:pPr>
        <w:spacing w:after="0"/>
        <w:rPr>
          <w:sz w:val="20"/>
          <w:szCs w:val="20"/>
          <w:color w:val="auto"/>
        </w:rPr>
      </w:pPr>
      <w:r>
        <w:rPr>
          <w:rFonts w:ascii="Arial" w:cs="Arial" w:eastAsia="Arial" w:hAnsi="Arial"/>
          <w:sz w:val="42"/>
          <w:szCs w:val="42"/>
          <w:b w:val="1"/>
          <w:bCs w:val="1"/>
          <w:color w:val="auto"/>
        </w:rPr>
        <w:t>Other Information</w:t>
      </w:r>
    </w:p>
    <w:p>
      <w:pPr>
        <w:spacing w:after="0" w:line="31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Security Ownership of Certain Beneficial Owners and Management</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following table sets forth certain information regarding the ownership of our common stock as of March 19, 2024 by: (i) each director and nominee for director; (ii) each NEO as set forth in the Summary Compensation Table of this proxy statement; (iii) all of our executive officers and directors as a group; and</w:t>
      </w:r>
    </w:p>
    <w:p>
      <w:pPr>
        <w:spacing w:after="0" w:line="1" w:lineRule="exact"/>
        <w:rPr>
          <w:sz w:val="20"/>
          <w:szCs w:val="20"/>
          <w:color w:val="auto"/>
        </w:rPr>
      </w:pPr>
    </w:p>
    <w:p>
      <w:pPr>
        <w:ind w:firstLine="5"/>
        <w:spacing w:after="0" w:line="318" w:lineRule="auto"/>
        <w:tabs>
          <w:tab w:leader="none" w:pos="28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all those known by us to be beneficial owners of more than five percent of our common stock. Unless otherwise indicated, the address for each of the stockholders in the table below is c/o Enphase Energy, Inc. 47281 Bayside Parkway, Fremont, CA 94538.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88265</wp:posOffset>
            </wp:positionV>
            <wp:extent cx="26968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96845" cy="825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p>
      <w:pPr>
        <w:spacing w:after="0" w:line="39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36765" cy="2813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765" cy="28130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5% Stockholders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0"/>
          <w:szCs w:val="20"/>
          <w:color w:val="auto"/>
          <w:vertAlign w:val="superscript"/>
        </w:rPr>
        <w:t>(2)</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BlackRock, Inc.</w:t>
      </w:r>
      <w:r>
        <w:rPr>
          <w:rFonts w:ascii="Arial" w:cs="Arial" w:eastAsia="Arial" w:hAnsi="Arial"/>
          <w:sz w:val="20"/>
          <w:szCs w:val="20"/>
          <w:color w:val="auto"/>
          <w:vertAlign w:val="superscript"/>
        </w:rPr>
        <w:t>(3)</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Named Executive Officers and Directors</w:t>
      </w:r>
    </w:p>
    <w:p>
      <w:pPr>
        <w:spacing w:after="0" w:line="4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Badrinarayanan Kothandaraman</w:t>
      </w:r>
      <w:r>
        <w:rPr>
          <w:rFonts w:ascii="Arial" w:cs="Arial" w:eastAsia="Arial" w:hAnsi="Arial"/>
          <w:sz w:val="20"/>
          <w:szCs w:val="20"/>
          <w:color w:val="auto"/>
          <w:vertAlign w:val="superscript"/>
        </w:rPr>
        <w:t>(4)</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Mandy Yang</w:t>
      </w:r>
      <w:r>
        <w:rPr>
          <w:rFonts w:ascii="Arial" w:cs="Arial" w:eastAsia="Arial" w:hAnsi="Arial"/>
          <w:sz w:val="20"/>
          <w:szCs w:val="20"/>
          <w:color w:val="auto"/>
          <w:vertAlign w:val="superscript"/>
        </w:rPr>
        <w:t>(5)</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Jeffrey McNeil</w:t>
      </w:r>
      <w:r>
        <w:rPr>
          <w:rFonts w:ascii="Arial" w:cs="Arial" w:eastAsia="Arial" w:hAnsi="Arial"/>
          <w:sz w:val="20"/>
          <w:szCs w:val="20"/>
          <w:color w:val="auto"/>
          <w:vertAlign w:val="superscript"/>
        </w:rPr>
        <w:t>(6)</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David Ranhoff</w:t>
      </w:r>
      <w:r>
        <w:rPr>
          <w:rFonts w:ascii="Arial" w:cs="Arial" w:eastAsia="Arial" w:hAnsi="Arial"/>
          <w:sz w:val="20"/>
          <w:szCs w:val="20"/>
          <w:color w:val="auto"/>
          <w:vertAlign w:val="superscript"/>
        </w:rPr>
        <w:t>(7)</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Steven J. Gomo</w:t>
      </w:r>
      <w:r>
        <w:rPr>
          <w:rFonts w:ascii="Arial" w:cs="Arial" w:eastAsia="Arial" w:hAnsi="Arial"/>
          <w:sz w:val="20"/>
          <w:szCs w:val="20"/>
          <w:color w:val="auto"/>
          <w:vertAlign w:val="superscript"/>
        </w:rPr>
        <w:t>(8)</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Jamie Haenggi</w:t>
      </w:r>
      <w:r>
        <w:rPr>
          <w:rFonts w:ascii="Arial" w:cs="Arial" w:eastAsia="Arial" w:hAnsi="Arial"/>
          <w:sz w:val="20"/>
          <w:szCs w:val="20"/>
          <w:color w:val="auto"/>
          <w:vertAlign w:val="superscript"/>
        </w:rPr>
        <w:t>(9)</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Benjamin Kortlang</w:t>
      </w:r>
      <w:r>
        <w:rPr>
          <w:rFonts w:ascii="Arial" w:cs="Arial" w:eastAsia="Arial" w:hAnsi="Arial"/>
          <w:sz w:val="20"/>
          <w:szCs w:val="20"/>
          <w:color w:val="auto"/>
          <w:vertAlign w:val="superscript"/>
        </w:rPr>
        <w:t>(10)</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Joseph Malchow</w:t>
      </w:r>
      <w:r>
        <w:rPr>
          <w:rFonts w:ascii="Arial" w:cs="Arial" w:eastAsia="Arial" w:hAnsi="Arial"/>
          <w:sz w:val="20"/>
          <w:szCs w:val="20"/>
          <w:color w:val="auto"/>
          <w:vertAlign w:val="superscript"/>
        </w:rPr>
        <w:t>(11)</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Richard Mora</w:t>
      </w:r>
      <w:r>
        <w:rPr>
          <w:rFonts w:ascii="Arial" w:cs="Arial" w:eastAsia="Arial" w:hAnsi="Arial"/>
          <w:sz w:val="20"/>
          <w:szCs w:val="20"/>
          <w:color w:val="auto"/>
          <w:vertAlign w:val="superscript"/>
        </w:rPr>
        <w:t>(12)</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Thurman John Rodgers</w:t>
      </w:r>
      <w:r>
        <w:rPr>
          <w:rFonts w:ascii="Arial" w:cs="Arial" w:eastAsia="Arial" w:hAnsi="Arial"/>
          <w:sz w:val="20"/>
          <w:szCs w:val="20"/>
          <w:color w:val="auto"/>
          <w:vertAlign w:val="superscript"/>
        </w:rPr>
        <w:t>(13)</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All executive officers and directors as a group (10 persons)</w:t>
      </w:r>
      <w:r>
        <w:rPr>
          <w:rFonts w:ascii="Arial" w:cs="Arial" w:eastAsia="Arial" w:hAnsi="Arial"/>
          <w:sz w:val="19"/>
          <w:szCs w:val="19"/>
          <w:b w:val="1"/>
          <w:bCs w:val="1"/>
          <w:color w:val="auto"/>
          <w:vertAlign w:val="superscript"/>
        </w:rPr>
        <w:t>(14)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3C3C3C"/>
        </w:rPr>
        <w:t>Beneficial Ownership</w:t>
      </w:r>
      <w:r>
        <w:rPr>
          <w:rFonts w:ascii="Arial" w:cs="Arial" w:eastAsia="Arial" w:hAnsi="Arial"/>
          <w:sz w:val="18"/>
          <w:szCs w:val="18"/>
          <w:b w:val="1"/>
          <w:bCs w:val="1"/>
          <w:color w:val="3C3C3C"/>
          <w:vertAlign w:val="superscript"/>
        </w:rPr>
        <w:t>(1)</w:t>
      </w:r>
    </w:p>
    <w:p>
      <w:pPr>
        <w:spacing w:after="0" w:line="31"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b w:val="1"/>
          <w:bCs w:val="1"/>
          <w:color w:val="FFFFFF"/>
        </w:rPr>
        <w:t>Number of Shares</w:t>
      </w:r>
      <w:r>
        <w:rPr>
          <w:sz w:val="20"/>
          <w:szCs w:val="20"/>
          <w:color w:val="auto"/>
        </w:rPr>
        <w:tab/>
      </w:r>
      <w:r>
        <w:rPr>
          <w:rFonts w:ascii="Arial" w:cs="Arial" w:eastAsia="Arial" w:hAnsi="Arial"/>
          <w:sz w:val="13"/>
          <w:szCs w:val="13"/>
          <w:b w:val="1"/>
          <w:bCs w:val="1"/>
          <w:color w:val="FFFFFF"/>
        </w:rPr>
        <w:t>Percent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19050</wp:posOffset>
            </wp:positionV>
            <wp:extent cx="8255" cy="26720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2672080"/>
                    </a:xfrm>
                    <a:prstGeom prst="rect">
                      <a:avLst/>
                    </a:prstGeom>
                    <a:noFill/>
                  </pic:spPr>
                </pic:pic>
              </a:graphicData>
            </a:graphic>
          </wp:anchor>
        </w:drawing>
      </w:r>
    </w:p>
    <w:p>
      <w:pPr>
        <w:spacing w:after="0" w:line="286" w:lineRule="exact"/>
        <w:rPr>
          <w:sz w:val="20"/>
          <w:szCs w:val="20"/>
          <w:color w:val="auto"/>
        </w:rPr>
      </w:pPr>
    </w:p>
    <w:p>
      <w:pPr>
        <w:ind w:left="220"/>
        <w:spacing w:after="0"/>
        <w:tabs>
          <w:tab w:leader="none" w:pos="2560" w:val="left"/>
        </w:tabs>
        <w:rPr>
          <w:sz w:val="20"/>
          <w:szCs w:val="20"/>
          <w:color w:val="auto"/>
        </w:rPr>
      </w:pPr>
      <w:r>
        <w:rPr>
          <w:rFonts w:ascii="Arial" w:cs="Arial" w:eastAsia="Arial" w:hAnsi="Arial"/>
          <w:sz w:val="16"/>
          <w:szCs w:val="16"/>
          <w:color w:val="auto"/>
        </w:rPr>
        <w:t>15,641,335</w:t>
      </w:r>
      <w:r>
        <w:rPr>
          <w:sz w:val="20"/>
          <w:szCs w:val="20"/>
          <w:color w:val="auto"/>
        </w:rPr>
        <w:tab/>
      </w:r>
      <w:r>
        <w:rPr>
          <w:rFonts w:ascii="Arial" w:cs="Arial" w:eastAsia="Arial" w:hAnsi="Arial"/>
          <w:sz w:val="16"/>
          <w:szCs w:val="16"/>
          <w:color w:val="auto"/>
        </w:rPr>
        <w:t>11.5%</w:t>
      </w:r>
    </w:p>
    <w:p>
      <w:pPr>
        <w:spacing w:after="0" w:line="104" w:lineRule="exact"/>
        <w:rPr>
          <w:sz w:val="20"/>
          <w:szCs w:val="20"/>
          <w:color w:val="auto"/>
        </w:rPr>
      </w:pPr>
    </w:p>
    <w:p>
      <w:pPr>
        <w:ind w:left="220"/>
        <w:spacing w:after="0"/>
        <w:tabs>
          <w:tab w:leader="none" w:pos="2540" w:val="left"/>
        </w:tabs>
        <w:rPr>
          <w:sz w:val="20"/>
          <w:szCs w:val="20"/>
          <w:color w:val="auto"/>
        </w:rPr>
      </w:pPr>
      <w:r>
        <w:rPr>
          <w:rFonts w:ascii="Arial" w:cs="Arial" w:eastAsia="Arial" w:hAnsi="Arial"/>
          <w:sz w:val="16"/>
          <w:szCs w:val="16"/>
          <w:color w:val="auto"/>
        </w:rPr>
        <w:t>14,437,662</w:t>
      </w:r>
      <w:r>
        <w:rPr>
          <w:sz w:val="20"/>
          <w:szCs w:val="20"/>
          <w:color w:val="auto"/>
        </w:rPr>
        <w:tab/>
      </w:r>
      <w:r>
        <w:rPr>
          <w:rFonts w:ascii="Arial" w:cs="Arial" w:eastAsia="Arial" w:hAnsi="Arial"/>
          <w:sz w:val="16"/>
          <w:szCs w:val="16"/>
          <w:color w:val="auto"/>
        </w:rPr>
        <w:t>10.6%</w:t>
      </w:r>
    </w:p>
    <w:p>
      <w:pPr>
        <w:spacing w:after="0" w:line="339" w:lineRule="exact"/>
        <w:rPr>
          <w:sz w:val="20"/>
          <w:szCs w:val="20"/>
          <w:color w:val="auto"/>
        </w:rPr>
      </w:pPr>
    </w:p>
    <w:p>
      <w:pPr>
        <w:ind w:left="260"/>
        <w:spacing w:after="0"/>
        <w:tabs>
          <w:tab w:leader="none" w:pos="2600" w:val="left"/>
        </w:tabs>
        <w:rPr>
          <w:sz w:val="20"/>
          <w:szCs w:val="20"/>
          <w:color w:val="auto"/>
        </w:rPr>
      </w:pPr>
      <w:r>
        <w:rPr>
          <w:rFonts w:ascii="Arial" w:cs="Arial" w:eastAsia="Arial" w:hAnsi="Arial"/>
          <w:sz w:val="16"/>
          <w:szCs w:val="16"/>
          <w:color w:val="auto"/>
        </w:rPr>
        <w:t>1,584,696</w:t>
      </w:r>
      <w:r>
        <w:rPr>
          <w:sz w:val="20"/>
          <w:szCs w:val="20"/>
          <w:color w:val="auto"/>
        </w:rPr>
        <w:tab/>
      </w:r>
      <w:r>
        <w:rPr>
          <w:rFonts w:ascii="Arial" w:cs="Arial" w:eastAsia="Arial" w:hAnsi="Arial"/>
          <w:sz w:val="16"/>
          <w:szCs w:val="16"/>
          <w:color w:val="auto"/>
        </w:rPr>
        <w:t>1.2%</w:t>
      </w:r>
    </w:p>
    <w:p>
      <w:pPr>
        <w:spacing w:after="0" w:line="104" w:lineRule="exact"/>
        <w:rPr>
          <w:sz w:val="20"/>
          <w:szCs w:val="20"/>
          <w:color w:val="auto"/>
        </w:rPr>
      </w:pPr>
    </w:p>
    <w:p>
      <w:pPr>
        <w:ind w:left="380"/>
        <w:spacing w:after="0"/>
        <w:tabs>
          <w:tab w:leader="none" w:pos="2740" w:val="left"/>
        </w:tabs>
        <w:rPr>
          <w:sz w:val="20"/>
          <w:szCs w:val="20"/>
          <w:color w:val="auto"/>
        </w:rPr>
      </w:pPr>
      <w:r>
        <w:rPr>
          <w:rFonts w:ascii="Arial" w:cs="Arial" w:eastAsia="Arial" w:hAnsi="Arial"/>
          <w:sz w:val="16"/>
          <w:szCs w:val="16"/>
          <w:color w:val="auto"/>
        </w:rPr>
        <w:t>66,093</w:t>
      </w:r>
      <w:r>
        <w:rPr>
          <w:sz w:val="20"/>
          <w:szCs w:val="20"/>
          <w:color w:val="auto"/>
        </w:rPr>
        <w:tab/>
      </w:r>
      <w:r>
        <w:rPr>
          <w:rFonts w:ascii="Arial" w:cs="Arial" w:eastAsia="Arial" w:hAnsi="Arial"/>
          <w:sz w:val="16"/>
          <w:szCs w:val="16"/>
          <w:color w:val="auto"/>
        </w:rPr>
        <w:t>*</w:t>
      </w:r>
    </w:p>
    <w:p>
      <w:pPr>
        <w:spacing w:after="0" w:line="104" w:lineRule="exact"/>
        <w:rPr>
          <w:sz w:val="20"/>
          <w:szCs w:val="20"/>
          <w:color w:val="auto"/>
        </w:rPr>
      </w:pPr>
    </w:p>
    <w:p>
      <w:pPr>
        <w:ind w:left="380"/>
        <w:spacing w:after="0"/>
        <w:tabs>
          <w:tab w:leader="none" w:pos="2740" w:val="left"/>
        </w:tabs>
        <w:rPr>
          <w:sz w:val="20"/>
          <w:szCs w:val="20"/>
          <w:color w:val="auto"/>
        </w:rPr>
      </w:pPr>
      <w:r>
        <w:rPr>
          <w:rFonts w:ascii="Arial" w:cs="Arial" w:eastAsia="Arial" w:hAnsi="Arial"/>
          <w:sz w:val="16"/>
          <w:szCs w:val="16"/>
          <w:color w:val="auto"/>
        </w:rPr>
        <w:t>41,248</w:t>
      </w:r>
      <w:r>
        <w:rPr>
          <w:sz w:val="20"/>
          <w:szCs w:val="20"/>
          <w:color w:val="auto"/>
        </w:rPr>
        <w:tab/>
      </w:r>
      <w:r>
        <w:rPr>
          <w:rFonts w:ascii="Arial" w:cs="Arial" w:eastAsia="Arial" w:hAnsi="Arial"/>
          <w:sz w:val="16"/>
          <w:szCs w:val="16"/>
          <w:color w:val="auto"/>
        </w:rPr>
        <w:t>*</w:t>
      </w:r>
    </w:p>
    <w:p>
      <w:pPr>
        <w:spacing w:after="0" w:line="104" w:lineRule="exact"/>
        <w:rPr>
          <w:sz w:val="20"/>
          <w:szCs w:val="20"/>
          <w:color w:val="auto"/>
        </w:rPr>
      </w:pPr>
    </w:p>
    <w:p>
      <w:pPr>
        <w:ind w:left="380"/>
        <w:spacing w:after="0"/>
        <w:tabs>
          <w:tab w:leader="none" w:pos="2740" w:val="left"/>
        </w:tabs>
        <w:rPr>
          <w:sz w:val="20"/>
          <w:szCs w:val="20"/>
          <w:color w:val="auto"/>
        </w:rPr>
      </w:pPr>
      <w:r>
        <w:rPr>
          <w:rFonts w:ascii="Arial" w:cs="Arial" w:eastAsia="Arial" w:hAnsi="Arial"/>
          <w:sz w:val="16"/>
          <w:szCs w:val="16"/>
          <w:color w:val="auto"/>
        </w:rPr>
        <w:t>83,538</w:t>
      </w:r>
      <w:r>
        <w:rPr>
          <w:sz w:val="20"/>
          <w:szCs w:val="20"/>
          <w:color w:val="auto"/>
        </w:rPr>
        <w:tab/>
      </w:r>
      <w:r>
        <w:rPr>
          <w:rFonts w:ascii="Arial" w:cs="Arial" w:eastAsia="Arial" w:hAnsi="Arial"/>
          <w:sz w:val="16"/>
          <w:szCs w:val="16"/>
          <w:color w:val="auto"/>
        </w:rPr>
        <w:t>*</w:t>
      </w:r>
    </w:p>
    <w:p>
      <w:pPr>
        <w:spacing w:after="0" w:line="104" w:lineRule="exact"/>
        <w:rPr>
          <w:sz w:val="20"/>
          <w:szCs w:val="20"/>
          <w:color w:val="auto"/>
        </w:rPr>
      </w:pPr>
    </w:p>
    <w:p>
      <w:pPr>
        <w:ind w:left="340"/>
        <w:spacing w:after="0"/>
        <w:tabs>
          <w:tab w:leader="none" w:pos="2740" w:val="left"/>
        </w:tabs>
        <w:rPr>
          <w:sz w:val="20"/>
          <w:szCs w:val="20"/>
          <w:color w:val="auto"/>
        </w:rPr>
      </w:pPr>
      <w:r>
        <w:rPr>
          <w:rFonts w:ascii="Arial" w:cs="Arial" w:eastAsia="Arial" w:hAnsi="Arial"/>
          <w:sz w:val="16"/>
          <w:szCs w:val="16"/>
          <w:color w:val="auto"/>
        </w:rPr>
        <w:t>138,773</w:t>
      </w:r>
      <w:r>
        <w:rPr>
          <w:sz w:val="20"/>
          <w:szCs w:val="20"/>
          <w:color w:val="auto"/>
        </w:rPr>
        <w:tab/>
      </w:r>
      <w:r>
        <w:rPr>
          <w:rFonts w:ascii="Arial" w:cs="Arial" w:eastAsia="Arial" w:hAnsi="Arial"/>
          <w:sz w:val="16"/>
          <w:szCs w:val="16"/>
          <w:color w:val="auto"/>
        </w:rPr>
        <w:t>*</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06"/>
        </w:trPr>
        <w:tc>
          <w:tcPr>
            <w:tcW w:w="1360" w:type="dxa"/>
            <w:vAlign w:val="bottom"/>
          </w:tcPr>
          <w:p>
            <w:pPr>
              <w:jc w:val="right"/>
              <w:ind w:right="882"/>
              <w:spacing w:after="0"/>
              <w:rPr>
                <w:sz w:val="20"/>
                <w:szCs w:val="20"/>
                <w:color w:val="auto"/>
              </w:rPr>
            </w:pPr>
            <w:r>
              <w:rPr>
                <w:rFonts w:ascii="Arial" w:cs="Arial" w:eastAsia="Arial" w:hAnsi="Arial"/>
                <w:sz w:val="16"/>
                <w:szCs w:val="16"/>
                <w:color w:val="auto"/>
                <w:w w:val="94"/>
              </w:rPr>
              <w:t>7,602</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82" w:lineRule="exact"/>
        <w:rPr>
          <w:sz w:val="20"/>
          <w:szCs w:val="20"/>
          <w:color w:val="auto"/>
        </w:rPr>
      </w:pPr>
    </w:p>
    <w:p>
      <w:pPr>
        <w:ind w:left="340"/>
        <w:spacing w:after="0"/>
        <w:tabs>
          <w:tab w:leader="none" w:pos="2740" w:val="left"/>
        </w:tabs>
        <w:rPr>
          <w:sz w:val="20"/>
          <w:szCs w:val="20"/>
          <w:color w:val="auto"/>
        </w:rPr>
      </w:pPr>
      <w:r>
        <w:rPr>
          <w:rFonts w:ascii="Arial" w:cs="Arial" w:eastAsia="Arial" w:hAnsi="Arial"/>
          <w:sz w:val="16"/>
          <w:szCs w:val="16"/>
          <w:color w:val="auto"/>
        </w:rPr>
        <w:t>209,443</w:t>
      </w:r>
      <w:r>
        <w:rPr>
          <w:sz w:val="20"/>
          <w:szCs w:val="20"/>
          <w:color w:val="auto"/>
        </w:rPr>
        <w:tab/>
      </w:r>
      <w:r>
        <w:rPr>
          <w:rFonts w:ascii="Arial" w:cs="Arial" w:eastAsia="Arial" w:hAnsi="Arial"/>
          <w:sz w:val="16"/>
          <w:szCs w:val="16"/>
          <w:color w:val="auto"/>
        </w:rPr>
        <w:t>*</w:t>
      </w:r>
    </w:p>
    <w:p>
      <w:pPr>
        <w:spacing w:after="0" w:line="104" w:lineRule="exact"/>
        <w:rPr>
          <w:sz w:val="20"/>
          <w:szCs w:val="20"/>
          <w:color w:val="auto"/>
        </w:rPr>
      </w:pPr>
    </w:p>
    <w:p>
      <w:pPr>
        <w:ind w:left="380"/>
        <w:spacing w:after="0"/>
        <w:tabs>
          <w:tab w:leader="none" w:pos="2740" w:val="left"/>
        </w:tabs>
        <w:rPr>
          <w:sz w:val="20"/>
          <w:szCs w:val="20"/>
          <w:color w:val="auto"/>
        </w:rPr>
      </w:pPr>
      <w:r>
        <w:rPr>
          <w:rFonts w:ascii="Arial" w:cs="Arial" w:eastAsia="Arial" w:hAnsi="Arial"/>
          <w:sz w:val="16"/>
          <w:szCs w:val="16"/>
          <w:color w:val="auto"/>
        </w:rPr>
        <w:t>56,616</w:t>
      </w:r>
      <w:r>
        <w:rPr>
          <w:sz w:val="20"/>
          <w:szCs w:val="20"/>
          <w:color w:val="auto"/>
        </w:rPr>
        <w:tab/>
      </w:r>
      <w:r>
        <w:rPr>
          <w:rFonts w:ascii="Arial" w:cs="Arial" w:eastAsia="Arial" w:hAnsi="Arial"/>
          <w:sz w:val="16"/>
          <w:szCs w:val="16"/>
          <w:color w:val="auto"/>
        </w:rPr>
        <w:t>*</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06"/>
        </w:trPr>
        <w:tc>
          <w:tcPr>
            <w:tcW w:w="1360" w:type="dxa"/>
            <w:vAlign w:val="bottom"/>
          </w:tcPr>
          <w:p>
            <w:pPr>
              <w:jc w:val="right"/>
              <w:ind w:right="882"/>
              <w:spacing w:after="0"/>
              <w:rPr>
                <w:sz w:val="20"/>
                <w:szCs w:val="20"/>
                <w:color w:val="auto"/>
              </w:rPr>
            </w:pPr>
            <w:r>
              <w:rPr>
                <w:rFonts w:ascii="Arial" w:cs="Arial" w:eastAsia="Arial" w:hAnsi="Arial"/>
                <w:sz w:val="16"/>
                <w:szCs w:val="16"/>
                <w:color w:val="auto"/>
                <w:w w:val="94"/>
              </w:rPr>
              <w:t>3,126</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82" w:lineRule="exact"/>
        <w:rPr>
          <w:sz w:val="20"/>
          <w:szCs w:val="20"/>
          <w:color w:val="auto"/>
        </w:rPr>
      </w:pPr>
    </w:p>
    <w:p>
      <w:pPr>
        <w:ind w:left="260"/>
        <w:spacing w:after="0"/>
        <w:tabs>
          <w:tab w:leader="none" w:pos="2600" w:val="left"/>
        </w:tabs>
        <w:rPr>
          <w:sz w:val="20"/>
          <w:szCs w:val="20"/>
          <w:color w:val="auto"/>
        </w:rPr>
      </w:pPr>
      <w:r>
        <w:rPr>
          <w:rFonts w:ascii="Arial" w:cs="Arial" w:eastAsia="Arial" w:hAnsi="Arial"/>
          <w:sz w:val="16"/>
          <w:szCs w:val="16"/>
          <w:color w:val="auto"/>
        </w:rPr>
        <w:t>2,398,251</w:t>
      </w:r>
      <w:r>
        <w:rPr>
          <w:sz w:val="20"/>
          <w:szCs w:val="20"/>
          <w:color w:val="auto"/>
        </w:rPr>
        <w:tab/>
      </w:r>
      <w:r>
        <w:rPr>
          <w:rFonts w:ascii="Arial" w:cs="Arial" w:eastAsia="Arial" w:hAnsi="Arial"/>
          <w:sz w:val="16"/>
          <w:szCs w:val="16"/>
          <w:color w:val="auto"/>
        </w:rPr>
        <w:t>1.8%</w:t>
      </w:r>
    </w:p>
    <w:p>
      <w:pPr>
        <w:spacing w:after="0" w:line="104" w:lineRule="exact"/>
        <w:rPr>
          <w:sz w:val="20"/>
          <w:szCs w:val="20"/>
          <w:color w:val="auto"/>
        </w:rPr>
      </w:pPr>
    </w:p>
    <w:p>
      <w:pPr>
        <w:ind w:left="260"/>
        <w:spacing w:after="0"/>
        <w:tabs>
          <w:tab w:leader="none" w:pos="2600" w:val="left"/>
        </w:tabs>
        <w:rPr>
          <w:sz w:val="20"/>
          <w:szCs w:val="20"/>
          <w:color w:val="auto"/>
        </w:rPr>
      </w:pPr>
      <w:r>
        <w:rPr>
          <w:rFonts w:ascii="Arial" w:cs="Arial" w:eastAsia="Arial" w:hAnsi="Arial"/>
          <w:sz w:val="16"/>
          <w:szCs w:val="16"/>
          <w:color w:val="auto"/>
        </w:rPr>
        <w:t>4,589,386</w:t>
      </w:r>
      <w:r>
        <w:rPr>
          <w:sz w:val="20"/>
          <w:szCs w:val="20"/>
          <w:color w:val="auto"/>
        </w:rPr>
        <w:tab/>
      </w:r>
      <w:r>
        <w:rPr>
          <w:rFonts w:ascii="Arial" w:cs="Arial" w:eastAsia="Arial" w:hAnsi="Arial"/>
          <w:sz w:val="16"/>
          <w:szCs w:val="16"/>
          <w:color w:val="auto"/>
        </w:rPr>
        <w:t>3.4%</w:t>
      </w:r>
    </w:p>
    <w:p>
      <w:pPr>
        <w:spacing w:after="0" w:line="129" w:lineRule="exact"/>
        <w:rPr>
          <w:sz w:val="20"/>
          <w:szCs w:val="20"/>
          <w:color w:val="auto"/>
        </w:rPr>
      </w:pPr>
    </w:p>
    <w:p>
      <w:pPr>
        <w:sectPr>
          <w:pgSz w:w="11900" w:h="16838" w:orient="portrait"/>
          <w:cols w:equalWidth="0" w:num="2">
            <w:col w:w="6700" w:space="720"/>
            <w:col w:w="3820"/>
          </w:cols>
          <w:pgMar w:left="320" w:top="751" w:right="339" w:bottom="1440" w:gutter="0" w:footer="0" w:header="0"/>
          <w:type w:val="continuous"/>
        </w:sect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ind w:left="220" w:hanging="215"/>
        <w:spacing w:after="0"/>
        <w:tabs>
          <w:tab w:leader="none" w:pos="220" w:val="left"/>
        </w:tabs>
        <w:numPr>
          <w:ilvl w:val="0"/>
          <w:numId w:val="101"/>
        </w:numPr>
        <w:rPr>
          <w:rFonts w:ascii="Arial" w:cs="Arial" w:eastAsia="Arial" w:hAnsi="Arial"/>
          <w:sz w:val="14"/>
          <w:szCs w:val="14"/>
          <w:color w:val="7D7D7D"/>
        </w:rPr>
      </w:pPr>
      <w:r>
        <w:rPr>
          <w:rFonts w:ascii="Arial" w:cs="Arial" w:eastAsia="Arial" w:hAnsi="Arial"/>
          <w:sz w:val="14"/>
          <w:szCs w:val="14"/>
          <w:color w:val="7D7D7D"/>
        </w:rPr>
        <w:t>Less than one percent.</w:t>
      </w:r>
    </w:p>
    <w:p>
      <w:pPr>
        <w:spacing w:after="0" w:line="61" w:lineRule="exact"/>
        <w:rPr>
          <w:sz w:val="20"/>
          <w:szCs w:val="20"/>
          <w:color w:val="auto"/>
        </w:rPr>
      </w:pPr>
    </w:p>
    <w:p>
      <w:pPr>
        <w:jc w:val="both"/>
        <w:ind w:left="320" w:hanging="315"/>
        <w:spacing w:after="0" w:line="255" w:lineRule="auto"/>
        <w:tabs>
          <w:tab w:leader="none" w:pos="306" w:val="left"/>
        </w:tabs>
        <w:numPr>
          <w:ilvl w:val="0"/>
          <w:numId w:val="102"/>
        </w:numPr>
        <w:rPr>
          <w:rFonts w:ascii="Arial" w:cs="Arial" w:eastAsia="Arial" w:hAnsi="Arial"/>
          <w:sz w:val="14"/>
          <w:szCs w:val="14"/>
          <w:color w:val="7D7D7D"/>
        </w:rPr>
      </w:pPr>
      <w:r>
        <w:rPr>
          <w:rFonts w:ascii="Arial" w:cs="Arial" w:eastAsia="Arial" w:hAnsi="Arial"/>
          <w:sz w:val="14"/>
          <w:szCs w:val="14"/>
          <w:color w:val="7D7D7D"/>
        </w:rPr>
        <w:t>This table is based upon information supplied by officers, directors and principal stockholders and Schedules 13G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 ownership is based on 135,988,561 shares of our common stock outstanding on March 19, 2024. In accordance with the rules and regulations of the SEC, in computing the number of shares of common stock beneficially owned by a person and the percentage ownership of such person, we deemed to be outstanding all shares of common stock subject to stock options or RSUs held by the person that are currently exercisable or exercisable (or issuable upon vesting of RSUs) within 60 days of March 19, 2024. In computing the percentage ownership of any person, the amount of shares outstanding is deemed to include the amount of shares beneficially owned by such person (and only such person) by reason of such acquisition rights. As a result, the percentage of outstanding shares held by any person in the table below does not necessarily reflect the person’s actual voting power.</w:t>
      </w:r>
    </w:p>
    <w:p>
      <w:pPr>
        <w:spacing w:after="0" w:line="30" w:lineRule="exact"/>
        <w:rPr>
          <w:sz w:val="20"/>
          <w:szCs w:val="20"/>
          <w:color w:val="auto"/>
        </w:rPr>
      </w:pPr>
    </w:p>
    <w:p>
      <w:pPr>
        <w:jc w:val="both"/>
        <w:ind w:left="320" w:hanging="315"/>
        <w:spacing w:after="0" w:line="260" w:lineRule="auto"/>
        <w:tabs>
          <w:tab w:leader="none" w:pos="306" w:val="left"/>
        </w:tabs>
        <w:numPr>
          <w:ilvl w:val="0"/>
          <w:numId w:val="103"/>
        </w:numPr>
        <w:rPr>
          <w:rFonts w:ascii="Arial" w:cs="Arial" w:eastAsia="Arial" w:hAnsi="Arial"/>
          <w:sz w:val="14"/>
          <w:szCs w:val="14"/>
          <w:color w:val="7D7D7D"/>
        </w:rPr>
      </w:pPr>
      <w:r>
        <w:rPr>
          <w:rFonts w:ascii="Arial" w:cs="Arial" w:eastAsia="Arial" w:hAnsi="Arial"/>
          <w:sz w:val="14"/>
          <w:szCs w:val="14"/>
          <w:color w:val="7D7D7D"/>
        </w:rPr>
        <w:t>Information provided is based solely on a Schedule 13G/A filed with the SEC by the reporting person on February 13, 2024. The Vanguard Group reported that it has sole voting power over no shares, sole dispositive power over 15,065,643 shares, shared voting power over 180,632 shares, and shared dispositive power over 584,692 shares. The address for The Vanguard Group is 100 Vanguard Blvd., Malvern, PA 19355.</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type w:val="continuous"/>
        </w:sectPr>
      </w:pPr>
    </w:p>
    <w:bookmarkStart w:id="73" w:name="page74"/>
    <w:bookmarkEnd w:id="73"/>
    <w:p>
      <w:pPr>
        <w:jc w:val="both"/>
        <w:ind w:left="320" w:hanging="315"/>
        <w:spacing w:after="0" w:line="255" w:lineRule="auto"/>
        <w:tabs>
          <w:tab w:leader="none" w:pos="306" w:val="left"/>
        </w:tabs>
        <w:numPr>
          <w:ilvl w:val="0"/>
          <w:numId w:val="104"/>
        </w:numPr>
        <w:rPr>
          <w:rFonts w:ascii="Arial" w:cs="Arial" w:eastAsia="Arial" w:hAnsi="Arial"/>
          <w:sz w:val="14"/>
          <w:szCs w:val="14"/>
          <w:color w:val="7D7D7D"/>
        </w:rPr>
      </w:pPr>
      <w:r>
        <w:rPr>
          <w:rFonts w:ascii="Arial" w:cs="Arial" w:eastAsia="Arial" w:hAnsi="Arial"/>
          <w:sz w:val="14"/>
          <w:szCs w:val="14"/>
          <w:color w:val="7D7D7D"/>
        </w:rPr>
        <w:t>Information provided is based solely on a Schedule 13G/A filed by the reporting person on February 6, 2024. The reporting entity is a parent holding company and has sole voting power with respect to 13,389,312 shares and sole dispositive power with respect to 14,437,662 shares, reporting on behalf of the following subsidiaries: BlackRock Life Limited, BlackRock Advisors, LLC, Aperio Group,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BlackRock Advisors (UK) Limited, BlackRock Fund Advisors, BlackRock Asset Management North Asia Limited, BlackRock (Singapore) Limited and BlackRock Fund Managers Ltd. The business address of BlackRock is 50 Hudson Yards, New York, New York 10001.</w:t>
      </w:r>
    </w:p>
    <w:p>
      <w:pPr>
        <w:spacing w:after="0" w:line="31" w:lineRule="exact"/>
        <w:rPr>
          <w:sz w:val="20"/>
          <w:szCs w:val="20"/>
          <w:color w:val="auto"/>
        </w:rPr>
      </w:pPr>
    </w:p>
    <w:p>
      <w:pPr>
        <w:ind w:left="320" w:hanging="315"/>
        <w:spacing w:after="0" w:line="268" w:lineRule="auto"/>
        <w:tabs>
          <w:tab w:leader="none" w:pos="306" w:val="left"/>
        </w:tabs>
        <w:numPr>
          <w:ilvl w:val="0"/>
          <w:numId w:val="105"/>
        </w:numPr>
        <w:rPr>
          <w:rFonts w:ascii="Arial" w:cs="Arial" w:eastAsia="Arial" w:hAnsi="Arial"/>
          <w:sz w:val="14"/>
          <w:szCs w:val="14"/>
          <w:color w:val="7D7D7D"/>
        </w:rPr>
      </w:pPr>
      <w:r>
        <w:rPr>
          <w:rFonts w:ascii="Arial" w:cs="Arial" w:eastAsia="Arial" w:hAnsi="Arial"/>
          <w:sz w:val="14"/>
          <w:szCs w:val="14"/>
          <w:color w:val="7D7D7D"/>
        </w:rPr>
        <w:t>Includes: (a) 1,584,530 shares held by the Kothandaraman-Santhanam Living Trust for which Mr. Kothandaraman serves as a trustee; and (b) 166 shares held directly by Mr. Kothandaraman.</w:t>
      </w:r>
    </w:p>
    <w:p>
      <w:pPr>
        <w:spacing w:after="0" w:line="19" w:lineRule="exact"/>
        <w:rPr>
          <w:sz w:val="20"/>
          <w:szCs w:val="20"/>
          <w:color w:val="auto"/>
        </w:rPr>
      </w:pPr>
    </w:p>
    <w:p>
      <w:pPr>
        <w:ind w:left="320" w:hanging="315"/>
        <w:spacing w:after="0" w:line="287" w:lineRule="auto"/>
        <w:tabs>
          <w:tab w:leader="none" w:pos="306" w:val="left"/>
        </w:tabs>
        <w:numPr>
          <w:ilvl w:val="0"/>
          <w:numId w:val="106"/>
        </w:numPr>
        <w:rPr>
          <w:rFonts w:ascii="Arial" w:cs="Arial" w:eastAsia="Arial" w:hAnsi="Arial"/>
          <w:sz w:val="14"/>
          <w:szCs w:val="14"/>
          <w:color w:val="7D7D7D"/>
        </w:rPr>
      </w:pPr>
      <w:r>
        <w:rPr>
          <w:rFonts w:ascii="Arial" w:cs="Arial" w:eastAsia="Arial" w:hAnsi="Arial"/>
          <w:sz w:val="14"/>
          <w:szCs w:val="14"/>
          <w:color w:val="7D7D7D"/>
        </w:rPr>
        <w:t>Includes: (a) 16,093 shares held directly by Ms. Yang; (b) 25,000 shares held by the The Ya-Ling 2023 ENPH - 2 Year GRAT dtd 12/12/2023; and (c) 25,000 shares held by The Stanley Wang 2023 ENPH - 2 YEAR GRAT dtd 12/12/2023.</w:t>
      </w:r>
    </w:p>
    <w:p>
      <w:pPr>
        <w:spacing w:after="0" w:line="7" w:lineRule="exact"/>
        <w:rPr>
          <w:sz w:val="20"/>
          <w:szCs w:val="20"/>
          <w:color w:val="auto"/>
        </w:rPr>
      </w:pPr>
    </w:p>
    <w:p>
      <w:pPr>
        <w:ind w:left="300" w:hanging="295"/>
        <w:spacing w:after="0"/>
        <w:tabs>
          <w:tab w:leader="none" w:pos="300" w:val="left"/>
        </w:tabs>
        <w:numPr>
          <w:ilvl w:val="0"/>
          <w:numId w:val="107"/>
        </w:numPr>
        <w:rPr>
          <w:rFonts w:ascii="Arial" w:cs="Arial" w:eastAsia="Arial" w:hAnsi="Arial"/>
          <w:sz w:val="14"/>
          <w:szCs w:val="14"/>
          <w:color w:val="7D7D7D"/>
        </w:rPr>
      </w:pPr>
      <w:r>
        <w:rPr>
          <w:rFonts w:ascii="Arial" w:cs="Arial" w:eastAsia="Arial" w:hAnsi="Arial"/>
          <w:sz w:val="14"/>
          <w:szCs w:val="14"/>
          <w:color w:val="7D7D7D"/>
        </w:rPr>
        <w:t>Includes: (a) 7,500 shares of common stock issuable upon the vesting of RSUs within 60 days of March 19, 2024; and (b) 33,748 shares held directly by Mr. McNeil.</w:t>
      </w:r>
    </w:p>
    <w:p>
      <w:pPr>
        <w:spacing w:after="0" w:line="61" w:lineRule="exact"/>
        <w:rPr>
          <w:rFonts w:ascii="Arial" w:cs="Arial" w:eastAsia="Arial" w:hAnsi="Arial"/>
          <w:sz w:val="14"/>
          <w:szCs w:val="14"/>
          <w:color w:val="7D7D7D"/>
        </w:rPr>
      </w:pPr>
    </w:p>
    <w:p>
      <w:pPr>
        <w:spacing w:after="0"/>
        <w:rPr>
          <w:rFonts w:ascii="Arial" w:cs="Arial" w:eastAsia="Arial" w:hAnsi="Arial"/>
          <w:sz w:val="14"/>
          <w:szCs w:val="14"/>
          <w:color w:val="7D7D7D"/>
        </w:rPr>
      </w:pPr>
      <w:r>
        <w:rPr>
          <w:rFonts w:ascii="Arial" w:cs="Arial" w:eastAsia="Arial" w:hAnsi="Arial"/>
          <w:sz w:val="14"/>
          <w:szCs w:val="14"/>
          <w:color w:val="7D7D7D"/>
        </w:rPr>
        <w:t>7   Includes: (a) 3,750 shares of common stock issuable upon the vesting of RSUs within 60 days of March 19, 2024; and (b) 79,788 shares held directly by Mr. Ranhoff.</w:t>
      </w:r>
    </w:p>
    <w:p>
      <w:pPr>
        <w:spacing w:after="0" w:line="48" w:lineRule="exact"/>
        <w:rPr>
          <w:sz w:val="20"/>
          <w:szCs w:val="20"/>
          <w:color w:val="auto"/>
        </w:rPr>
      </w:pPr>
    </w:p>
    <w:p>
      <w:pPr>
        <w:ind w:left="320" w:hanging="315"/>
        <w:spacing w:after="0" w:line="287" w:lineRule="auto"/>
        <w:tabs>
          <w:tab w:leader="none" w:pos="306" w:val="left"/>
        </w:tabs>
        <w:numPr>
          <w:ilvl w:val="0"/>
          <w:numId w:val="108"/>
        </w:numPr>
        <w:rPr>
          <w:rFonts w:ascii="Arial" w:cs="Arial" w:eastAsia="Arial" w:hAnsi="Arial"/>
          <w:sz w:val="14"/>
          <w:szCs w:val="14"/>
          <w:color w:val="7D7D7D"/>
        </w:rPr>
      </w:pPr>
      <w:r>
        <w:rPr>
          <w:rFonts w:ascii="Arial" w:cs="Arial" w:eastAsia="Arial" w:hAnsi="Arial"/>
          <w:sz w:val="14"/>
          <w:szCs w:val="14"/>
          <w:color w:val="7D7D7D"/>
        </w:rPr>
        <w:t>Includes: (a) 45,668 shares issuable pursuant to stock options exercisable within 60 days of March 19, 2024; (b) 413 shares of common stock issuable upon the vesting of RSUs within 60 days of March 19, 2024; and (c) 92,692 shares held directly by Mr. Gomo.</w:t>
      </w:r>
    </w:p>
    <w:p>
      <w:pPr>
        <w:spacing w:after="0" w:line="7" w:lineRule="exact"/>
        <w:rPr>
          <w:sz w:val="20"/>
          <w:szCs w:val="20"/>
          <w:color w:val="auto"/>
        </w:rPr>
      </w:pPr>
    </w:p>
    <w:p>
      <w:pPr>
        <w:ind w:left="300" w:hanging="295"/>
        <w:spacing w:after="0"/>
        <w:tabs>
          <w:tab w:leader="none" w:pos="300" w:val="left"/>
        </w:tabs>
        <w:numPr>
          <w:ilvl w:val="0"/>
          <w:numId w:val="109"/>
        </w:numPr>
        <w:rPr>
          <w:rFonts w:ascii="Arial" w:cs="Arial" w:eastAsia="Arial" w:hAnsi="Arial"/>
          <w:sz w:val="14"/>
          <w:szCs w:val="14"/>
          <w:color w:val="7D7D7D"/>
        </w:rPr>
      </w:pPr>
      <w:r>
        <w:rPr>
          <w:rFonts w:ascii="Arial" w:cs="Arial" w:eastAsia="Arial" w:hAnsi="Arial"/>
          <w:sz w:val="14"/>
          <w:szCs w:val="14"/>
          <w:color w:val="7D7D7D"/>
        </w:rPr>
        <w:t>Includes: (a) 382 shares of common stock issuable upon the vesting of RSUs within 60 days of March 19, 2024; and (b) 7,220 shares held directly by Ms. Haenggi.</w:t>
      </w:r>
    </w:p>
    <w:p>
      <w:pPr>
        <w:spacing w:after="0" w:line="61" w:lineRule="exact"/>
        <w:rPr>
          <w:sz w:val="20"/>
          <w:szCs w:val="20"/>
          <w:color w:val="auto"/>
        </w:rPr>
      </w:pPr>
    </w:p>
    <w:p>
      <w:pPr>
        <w:ind w:left="320" w:hanging="315"/>
        <w:spacing w:after="0" w:line="282" w:lineRule="auto"/>
        <w:tabs>
          <w:tab w:leader="none" w:pos="305" w:val="left"/>
        </w:tabs>
        <w:numPr>
          <w:ilvl w:val="0"/>
          <w:numId w:val="110"/>
        </w:numPr>
        <w:rPr>
          <w:rFonts w:ascii="Arial" w:cs="Arial" w:eastAsia="Arial" w:hAnsi="Arial"/>
          <w:sz w:val="14"/>
          <w:szCs w:val="14"/>
          <w:color w:val="7D7D7D"/>
        </w:rPr>
      </w:pPr>
      <w:r>
        <w:rPr>
          <w:rFonts w:ascii="Arial" w:cs="Arial" w:eastAsia="Arial" w:hAnsi="Arial"/>
          <w:sz w:val="14"/>
          <w:szCs w:val="14"/>
          <w:color w:val="7D7D7D"/>
        </w:rPr>
        <w:t>Includes: (a) stock options exercisable for 2,475 shares within 60 days of March 19, 2024; (b) 382 shares of common stock issuable upon the vesting of RSUs within 60 days of March 19, 2024; and (c) 206,586 shares held directly by Mr. Kortlang.</w:t>
      </w:r>
    </w:p>
    <w:p>
      <w:pPr>
        <w:ind w:left="300" w:hanging="295"/>
        <w:spacing w:after="0"/>
        <w:tabs>
          <w:tab w:leader="none" w:pos="300" w:val="left"/>
        </w:tabs>
        <w:numPr>
          <w:ilvl w:val="0"/>
          <w:numId w:val="110"/>
        </w:numPr>
        <w:rPr>
          <w:rFonts w:ascii="Arial" w:cs="Arial" w:eastAsia="Arial" w:hAnsi="Arial"/>
          <w:sz w:val="14"/>
          <w:szCs w:val="14"/>
          <w:color w:val="7D7D7D"/>
        </w:rPr>
      </w:pPr>
      <w:r>
        <w:rPr>
          <w:rFonts w:ascii="Arial" w:cs="Arial" w:eastAsia="Arial" w:hAnsi="Arial"/>
          <w:sz w:val="14"/>
          <w:szCs w:val="14"/>
          <w:color w:val="7D7D7D"/>
        </w:rPr>
        <w:t>Includes: (a) 382 shares of common stock issuable upon the vesting of RSUs within 60 days of March 19, 2024; and (b) 56,234 shares held directly by Mr. Malchow.</w:t>
      </w:r>
    </w:p>
    <w:p>
      <w:pPr>
        <w:spacing w:after="0" w:line="61" w:lineRule="exact"/>
        <w:rPr>
          <w:rFonts w:ascii="Arial" w:cs="Arial" w:eastAsia="Arial" w:hAnsi="Arial"/>
          <w:sz w:val="14"/>
          <w:szCs w:val="14"/>
          <w:color w:val="7D7D7D"/>
        </w:rPr>
      </w:pPr>
    </w:p>
    <w:p>
      <w:pPr>
        <w:ind w:left="300" w:hanging="295"/>
        <w:spacing w:after="0"/>
        <w:tabs>
          <w:tab w:leader="none" w:pos="300" w:val="left"/>
        </w:tabs>
        <w:numPr>
          <w:ilvl w:val="0"/>
          <w:numId w:val="110"/>
        </w:numPr>
        <w:rPr>
          <w:rFonts w:ascii="Arial" w:cs="Arial" w:eastAsia="Arial" w:hAnsi="Arial"/>
          <w:sz w:val="14"/>
          <w:szCs w:val="14"/>
          <w:color w:val="7D7D7D"/>
        </w:rPr>
      </w:pPr>
      <w:r>
        <w:rPr>
          <w:rFonts w:ascii="Arial" w:cs="Arial" w:eastAsia="Arial" w:hAnsi="Arial"/>
          <w:sz w:val="14"/>
          <w:szCs w:val="14"/>
          <w:color w:val="7D7D7D"/>
        </w:rPr>
        <w:t>Includes: (a) 382 shares of common stock issuable upon the vesting of RSUs within 60 days of March 19, 2024; and (c) 2,744 shares held directly by Mr. Mora.</w:t>
      </w:r>
    </w:p>
    <w:p>
      <w:pPr>
        <w:spacing w:after="0" w:line="61" w:lineRule="exact"/>
        <w:rPr>
          <w:rFonts w:ascii="Arial" w:cs="Arial" w:eastAsia="Arial" w:hAnsi="Arial"/>
          <w:sz w:val="14"/>
          <w:szCs w:val="14"/>
          <w:color w:val="7D7D7D"/>
        </w:rPr>
      </w:pPr>
    </w:p>
    <w:p>
      <w:pPr>
        <w:jc w:val="both"/>
        <w:ind w:left="320" w:hanging="315"/>
        <w:spacing w:after="0" w:line="258" w:lineRule="auto"/>
        <w:tabs>
          <w:tab w:leader="none" w:pos="305" w:val="left"/>
        </w:tabs>
        <w:numPr>
          <w:ilvl w:val="0"/>
          <w:numId w:val="110"/>
        </w:numPr>
        <w:rPr>
          <w:rFonts w:ascii="Arial" w:cs="Arial" w:eastAsia="Arial" w:hAnsi="Arial"/>
          <w:sz w:val="14"/>
          <w:szCs w:val="14"/>
          <w:color w:val="7D7D7D"/>
        </w:rPr>
      </w:pPr>
      <w:r>
        <w:rPr>
          <w:rFonts w:ascii="Arial" w:cs="Arial" w:eastAsia="Arial" w:hAnsi="Arial"/>
          <w:sz w:val="14"/>
          <w:szCs w:val="14"/>
          <w:color w:val="7D7D7D"/>
        </w:rPr>
        <w:t>Includes: (a) 2,304,088 shares of common stock held by Rodgers Massey Revocable Living Trust dtd 4/4/11 for which Mr. Rodgers and his spouse, Valeta Massey, serve as trustees and share joint voting and dispositive power; (b) 4,100 shares of common stock held by Rodgers 2012 Irrevocable Trust; (c) 4,100 shares of common stock held by Valeta Massey 2012 Irrevocable Trust; (d) 85,200 shares of common stock held by Rodgers Family and Free Markets Charitable Trust; (e) 382 shares of common stock issuable upon the vesting of RSUs within 60 days of March 19, 2024; and (e) 381 shares held directly by Mr. Rodgers.</w:t>
      </w:r>
    </w:p>
    <w:p>
      <w:pPr>
        <w:spacing w:after="0" w:line="26" w:lineRule="exact"/>
        <w:rPr>
          <w:rFonts w:ascii="Arial" w:cs="Arial" w:eastAsia="Arial" w:hAnsi="Arial"/>
          <w:sz w:val="14"/>
          <w:szCs w:val="14"/>
          <w:color w:val="7D7D7D"/>
        </w:rPr>
      </w:pPr>
    </w:p>
    <w:p>
      <w:pPr>
        <w:ind w:left="320" w:hanging="315"/>
        <w:spacing w:after="0" w:line="287" w:lineRule="auto"/>
        <w:tabs>
          <w:tab w:leader="none" w:pos="305" w:val="left"/>
        </w:tabs>
        <w:numPr>
          <w:ilvl w:val="0"/>
          <w:numId w:val="110"/>
        </w:numPr>
        <w:rPr>
          <w:rFonts w:ascii="Arial" w:cs="Arial" w:eastAsia="Arial" w:hAnsi="Arial"/>
          <w:sz w:val="14"/>
          <w:szCs w:val="14"/>
          <w:color w:val="7D7D7D"/>
        </w:rPr>
      </w:pPr>
      <w:r>
        <w:rPr>
          <w:rFonts w:ascii="Arial" w:cs="Arial" w:eastAsia="Arial" w:hAnsi="Arial"/>
          <w:sz w:val="14"/>
          <w:szCs w:val="14"/>
          <w:color w:val="7D7D7D"/>
        </w:rPr>
        <w:t>Includes: (a) 4,531,420 shares beneficially owned by the current directors and executive officers; (b) 48,143 shares issuable pursuant to stock options exercisable within 60 days of March 19, 2024; and (c) 13,573 shares of common stock issuable upon the vesting of RSUs within 60 days of March 19, 2024.</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74" w:name="page75"/>
    <w:bookmarkEnd w:id="74"/>
    <w:p>
      <w:pPr>
        <w:spacing w:after="0"/>
        <w:rPr>
          <w:sz w:val="20"/>
          <w:szCs w:val="20"/>
          <w:color w:val="auto"/>
        </w:rPr>
      </w:pPr>
      <w:r>
        <w:rPr>
          <w:rFonts w:ascii="Arial" w:cs="Arial" w:eastAsia="Arial" w:hAnsi="Arial"/>
          <w:sz w:val="31"/>
          <w:szCs w:val="31"/>
          <w:b w:val="1"/>
          <w:bCs w:val="1"/>
          <w:color w:val="auto"/>
        </w:rPr>
        <w:t>Equity Compensation Plan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with respect to our equity compensation plans in effect as of December 31, 2023.</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5900" w:type="dxa"/>
            <w:vAlign w:val="bottom"/>
            <w:tcBorders>
              <w:left w:val="single" w:sz="8" w:color="3C3C3C"/>
              <w:right w:val="single" w:sz="8" w:color="3C3C3C"/>
            </w:tcBorders>
            <w:shd w:val="clear" w:color="auto" w:fill="3C3C3C"/>
          </w:tcPr>
          <w:p>
            <w:pPr>
              <w:spacing w:after="0"/>
              <w:rPr>
                <w:sz w:val="24"/>
                <w:szCs w:val="24"/>
                <w:color w:val="auto"/>
              </w:rPr>
            </w:pPr>
          </w:p>
        </w:tc>
        <w:tc>
          <w:tcPr>
            <w:tcW w:w="1340" w:type="dxa"/>
            <w:vAlign w:val="bottom"/>
            <w:shd w:val="clear" w:color="auto" w:fill="3C3C3C"/>
          </w:tcPr>
          <w:p>
            <w:pPr>
              <w:spacing w:after="0"/>
              <w:rPr>
                <w:sz w:val="24"/>
                <w:szCs w:val="24"/>
                <w:color w:val="auto"/>
              </w:rPr>
            </w:pPr>
          </w:p>
        </w:tc>
        <w:tc>
          <w:tcPr>
            <w:tcW w:w="380" w:type="dxa"/>
            <w:vAlign w:val="bottom"/>
            <w:shd w:val="clear" w:color="auto" w:fill="3C3C3C"/>
          </w:tcPr>
          <w:p>
            <w:pPr>
              <w:spacing w:after="0"/>
              <w:rPr>
                <w:sz w:val="24"/>
                <w:szCs w:val="24"/>
                <w:color w:val="auto"/>
              </w:rPr>
            </w:pPr>
          </w:p>
        </w:tc>
        <w:tc>
          <w:tcPr>
            <w:tcW w:w="1100" w:type="dxa"/>
            <w:vAlign w:val="bottom"/>
            <w:tcBorders>
              <w:left w:val="single" w:sz="8" w:color="3C3C3C"/>
            </w:tcBorders>
            <w:shd w:val="clear" w:color="auto" w:fill="3C3C3C"/>
          </w:tcPr>
          <w:p>
            <w:pPr>
              <w:spacing w:after="0"/>
              <w:rPr>
                <w:sz w:val="24"/>
                <w:szCs w:val="24"/>
                <w:color w:val="auto"/>
              </w:rPr>
            </w:pPr>
          </w:p>
        </w:tc>
        <w:tc>
          <w:tcPr>
            <w:tcW w:w="360" w:type="dxa"/>
            <w:vAlign w:val="bottom"/>
            <w:shd w:val="clear" w:color="auto" w:fill="3C3C3C"/>
          </w:tcPr>
          <w:p>
            <w:pPr>
              <w:spacing w:after="0"/>
              <w:rPr>
                <w:sz w:val="24"/>
                <w:szCs w:val="24"/>
                <w:color w:val="auto"/>
              </w:rPr>
            </w:pPr>
          </w:p>
        </w:tc>
        <w:tc>
          <w:tcPr>
            <w:tcW w:w="2160" w:type="dxa"/>
            <w:vAlign w:val="bottom"/>
            <w:tcBorders>
              <w:left w:val="single" w:sz="8" w:color="3C3C3C"/>
            </w:tcBorders>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Number of securities remaining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900" w:type="dxa"/>
            <w:vAlign w:val="bottom"/>
            <w:tcBorders>
              <w:left w:val="single" w:sz="8" w:color="3C3C3C"/>
              <w:right w:val="single" w:sz="8" w:color="3C3C3C"/>
            </w:tcBorders>
            <w:shd w:val="clear" w:color="auto" w:fill="3C3C3C"/>
          </w:tcPr>
          <w:p>
            <w:pPr>
              <w:spacing w:after="0"/>
              <w:rPr>
                <w:sz w:val="14"/>
                <w:szCs w:val="14"/>
                <w:color w:val="auto"/>
              </w:rPr>
            </w:pPr>
          </w:p>
        </w:tc>
        <w:tc>
          <w:tcPr>
            <w:tcW w:w="1720" w:type="dxa"/>
            <w:vAlign w:val="bottom"/>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Number of securities to</w:t>
            </w:r>
          </w:p>
        </w:tc>
        <w:tc>
          <w:tcPr>
            <w:tcW w:w="1460" w:type="dxa"/>
            <w:vAlign w:val="bottom"/>
            <w:tcBorders>
              <w:left w:val="single" w:sz="8" w:color="3C3C3C"/>
            </w:tcBorders>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w w:val="97"/>
              </w:rPr>
              <w:t>Weighted-average</w:t>
            </w:r>
          </w:p>
        </w:tc>
        <w:tc>
          <w:tcPr>
            <w:tcW w:w="2160" w:type="dxa"/>
            <w:vAlign w:val="bottom"/>
            <w:tcBorders>
              <w:left w:val="single" w:sz="8" w:color="3C3C3C"/>
            </w:tcBorders>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available for future issuance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00" w:type="dxa"/>
            <w:vAlign w:val="bottom"/>
            <w:tcBorders>
              <w:left w:val="single" w:sz="8" w:color="3C3C3C"/>
              <w:right w:val="single" w:sz="8" w:color="3C3C3C"/>
            </w:tcBorders>
            <w:shd w:val="clear" w:color="auto" w:fill="3C3C3C"/>
          </w:tcPr>
          <w:p>
            <w:pPr>
              <w:spacing w:after="0"/>
              <w:rPr>
                <w:sz w:val="14"/>
                <w:szCs w:val="14"/>
                <w:color w:val="auto"/>
              </w:rPr>
            </w:pPr>
          </w:p>
        </w:tc>
        <w:tc>
          <w:tcPr>
            <w:tcW w:w="1720" w:type="dxa"/>
            <w:vAlign w:val="bottom"/>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be issued upon exercise</w:t>
            </w:r>
          </w:p>
        </w:tc>
        <w:tc>
          <w:tcPr>
            <w:tcW w:w="1460" w:type="dxa"/>
            <w:vAlign w:val="bottom"/>
            <w:tcBorders>
              <w:left w:val="single" w:sz="8" w:color="3C3C3C"/>
            </w:tcBorders>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exercise price of</w:t>
            </w:r>
          </w:p>
        </w:tc>
        <w:tc>
          <w:tcPr>
            <w:tcW w:w="2160" w:type="dxa"/>
            <w:vAlign w:val="bottom"/>
            <w:tcBorders>
              <w:left w:val="single" w:sz="8" w:color="3C3C3C"/>
            </w:tcBorders>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under equity compensation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900" w:type="dxa"/>
            <w:vAlign w:val="bottom"/>
            <w:tcBorders>
              <w:left w:val="single" w:sz="8" w:color="3C3C3C"/>
              <w:right w:val="single" w:sz="8" w:color="3C3C3C"/>
            </w:tcBorders>
            <w:shd w:val="clear" w:color="auto" w:fill="3C3C3C"/>
          </w:tcPr>
          <w:p>
            <w:pPr>
              <w:ind w:left="100"/>
              <w:spacing w:after="0"/>
              <w:rPr>
                <w:sz w:val="20"/>
                <w:szCs w:val="20"/>
                <w:color w:val="auto"/>
              </w:rPr>
            </w:pPr>
            <w:r>
              <w:rPr>
                <w:rFonts w:ascii="Arial" w:cs="Arial" w:eastAsia="Arial" w:hAnsi="Arial"/>
                <w:sz w:val="14"/>
                <w:szCs w:val="14"/>
                <w:b w:val="1"/>
                <w:bCs w:val="1"/>
                <w:color w:val="FFFFFF"/>
              </w:rPr>
              <w:t>Plan Category</w:t>
            </w:r>
          </w:p>
        </w:tc>
        <w:tc>
          <w:tcPr>
            <w:tcW w:w="1720" w:type="dxa"/>
            <w:vAlign w:val="bottom"/>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rPr>
              <w:t>of outstanding options</w:t>
            </w:r>
          </w:p>
        </w:tc>
        <w:tc>
          <w:tcPr>
            <w:tcW w:w="1460" w:type="dxa"/>
            <w:vAlign w:val="bottom"/>
            <w:tcBorders>
              <w:left w:val="single" w:sz="8" w:color="3C3C3C"/>
            </w:tcBorders>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outstanding options</w:t>
            </w:r>
          </w:p>
        </w:tc>
        <w:tc>
          <w:tcPr>
            <w:tcW w:w="2160" w:type="dxa"/>
            <w:vAlign w:val="bottom"/>
            <w:tcBorders>
              <w:left w:val="single" w:sz="8" w:color="3C3C3C"/>
            </w:tcBorders>
            <w:gridSpan w:val="2"/>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plans (excluding securities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900" w:type="dxa"/>
            <w:vAlign w:val="bottom"/>
            <w:tcBorders>
              <w:left w:val="single" w:sz="8" w:color="3C3C3C"/>
              <w:right w:val="single" w:sz="8" w:color="3C3C3C"/>
            </w:tcBorders>
            <w:shd w:val="clear" w:color="auto" w:fill="3C3C3C"/>
          </w:tcPr>
          <w:p>
            <w:pPr>
              <w:spacing w:after="0"/>
              <w:rPr>
                <w:sz w:val="13"/>
                <w:szCs w:val="13"/>
                <w:color w:val="auto"/>
              </w:rPr>
            </w:pPr>
          </w:p>
        </w:tc>
        <w:tc>
          <w:tcPr>
            <w:tcW w:w="1340" w:type="dxa"/>
            <w:vAlign w:val="bottom"/>
            <w:shd w:val="clear" w:color="auto" w:fill="3C3C3C"/>
          </w:tcPr>
          <w:p>
            <w:pPr>
              <w:jc w:val="center"/>
              <w:ind w:left="267"/>
              <w:spacing w:after="0"/>
              <w:rPr>
                <w:sz w:val="20"/>
                <w:szCs w:val="20"/>
                <w:color w:val="auto"/>
              </w:rPr>
            </w:pPr>
            <w:r>
              <w:rPr>
                <w:rFonts w:ascii="Arial" w:cs="Arial" w:eastAsia="Arial" w:hAnsi="Arial"/>
                <w:sz w:val="14"/>
                <w:szCs w:val="14"/>
                <w:b w:val="1"/>
                <w:bCs w:val="1"/>
                <w:color w:val="FFFFFF"/>
              </w:rPr>
              <w:t>and rights</w:t>
            </w:r>
          </w:p>
        </w:tc>
        <w:tc>
          <w:tcPr>
            <w:tcW w:w="380" w:type="dxa"/>
            <w:vAlign w:val="bottom"/>
            <w:shd w:val="clear" w:color="auto" w:fill="3C3C3C"/>
          </w:tcPr>
          <w:p>
            <w:pPr>
              <w:spacing w:after="0"/>
              <w:rPr>
                <w:sz w:val="13"/>
                <w:szCs w:val="13"/>
                <w:color w:val="auto"/>
              </w:rPr>
            </w:pPr>
          </w:p>
        </w:tc>
        <w:tc>
          <w:tcPr>
            <w:tcW w:w="1100" w:type="dxa"/>
            <w:vAlign w:val="bottom"/>
            <w:tcBorders>
              <w:left w:val="single" w:sz="8" w:color="3C3C3C"/>
            </w:tcBorders>
            <w:shd w:val="clear" w:color="auto" w:fill="3C3C3C"/>
          </w:tcPr>
          <w:p>
            <w:pPr>
              <w:jc w:val="center"/>
              <w:ind w:left="287"/>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3C3C3C"/>
          </w:tcPr>
          <w:p>
            <w:pPr>
              <w:spacing w:after="0"/>
              <w:rPr>
                <w:sz w:val="13"/>
                <w:szCs w:val="13"/>
                <w:color w:val="auto"/>
              </w:rPr>
            </w:pPr>
          </w:p>
        </w:tc>
        <w:tc>
          <w:tcPr>
            <w:tcW w:w="1700" w:type="dxa"/>
            <w:vAlign w:val="bottom"/>
            <w:tcBorders>
              <w:left w:val="single" w:sz="8" w:color="3C3C3C"/>
            </w:tcBorders>
            <w:shd w:val="clear" w:color="auto" w:fill="3C3C3C"/>
          </w:tcPr>
          <w:p>
            <w:pPr>
              <w:jc w:val="center"/>
              <w:ind w:left="368"/>
              <w:spacing w:after="0"/>
              <w:rPr>
                <w:sz w:val="20"/>
                <w:szCs w:val="20"/>
                <w:color w:val="auto"/>
              </w:rPr>
            </w:pPr>
            <w:r>
              <w:rPr>
                <w:rFonts w:ascii="Arial" w:cs="Arial" w:eastAsia="Arial" w:hAnsi="Arial"/>
                <w:sz w:val="14"/>
                <w:szCs w:val="14"/>
                <w:b w:val="1"/>
                <w:bCs w:val="1"/>
                <w:color w:val="FFFFFF"/>
                <w:w w:val="99"/>
              </w:rPr>
              <w:t>reflected in</w:t>
            </w:r>
          </w:p>
        </w:tc>
        <w:tc>
          <w:tcPr>
            <w:tcW w:w="460" w:type="dxa"/>
            <w:vAlign w:val="bottom"/>
            <w:shd w:val="clear" w:color="auto" w:fill="3C3C3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900" w:type="dxa"/>
            <w:vAlign w:val="bottom"/>
            <w:tcBorders>
              <w:left w:val="single" w:sz="8" w:color="3C3C3C"/>
              <w:right w:val="single" w:sz="8" w:color="3C3C3C"/>
            </w:tcBorders>
            <w:shd w:val="clear" w:color="auto" w:fill="3C3C3C"/>
          </w:tcPr>
          <w:p>
            <w:pPr>
              <w:spacing w:after="0"/>
              <w:rPr>
                <w:sz w:val="16"/>
                <w:szCs w:val="16"/>
                <w:color w:val="auto"/>
              </w:rPr>
            </w:pPr>
          </w:p>
        </w:tc>
        <w:tc>
          <w:tcPr>
            <w:tcW w:w="1340" w:type="dxa"/>
            <w:vAlign w:val="bottom"/>
            <w:shd w:val="clear" w:color="auto" w:fill="3C3C3C"/>
          </w:tcPr>
          <w:p>
            <w:pPr>
              <w:spacing w:after="0"/>
              <w:rPr>
                <w:sz w:val="16"/>
                <w:szCs w:val="16"/>
                <w:color w:val="auto"/>
              </w:rPr>
            </w:pPr>
          </w:p>
        </w:tc>
        <w:tc>
          <w:tcPr>
            <w:tcW w:w="380" w:type="dxa"/>
            <w:vAlign w:val="bottom"/>
            <w:shd w:val="clear" w:color="auto" w:fill="3C3C3C"/>
          </w:tcPr>
          <w:p>
            <w:pPr>
              <w:spacing w:after="0"/>
              <w:rPr>
                <w:sz w:val="16"/>
                <w:szCs w:val="16"/>
                <w:color w:val="auto"/>
              </w:rPr>
            </w:pPr>
          </w:p>
        </w:tc>
        <w:tc>
          <w:tcPr>
            <w:tcW w:w="1100" w:type="dxa"/>
            <w:vAlign w:val="bottom"/>
            <w:tcBorders>
              <w:left w:val="single" w:sz="8" w:color="3C3C3C"/>
            </w:tcBorders>
            <w:shd w:val="clear" w:color="auto" w:fill="3C3C3C"/>
          </w:tcPr>
          <w:p>
            <w:pPr>
              <w:spacing w:after="0"/>
              <w:rPr>
                <w:sz w:val="16"/>
                <w:szCs w:val="16"/>
                <w:color w:val="auto"/>
              </w:rPr>
            </w:pPr>
          </w:p>
        </w:tc>
        <w:tc>
          <w:tcPr>
            <w:tcW w:w="360" w:type="dxa"/>
            <w:vAlign w:val="bottom"/>
            <w:shd w:val="clear" w:color="auto" w:fill="3C3C3C"/>
          </w:tcPr>
          <w:p>
            <w:pPr>
              <w:spacing w:after="0"/>
              <w:rPr>
                <w:sz w:val="16"/>
                <w:szCs w:val="16"/>
                <w:color w:val="auto"/>
              </w:rPr>
            </w:pPr>
          </w:p>
        </w:tc>
        <w:tc>
          <w:tcPr>
            <w:tcW w:w="1700" w:type="dxa"/>
            <w:vAlign w:val="bottom"/>
            <w:tcBorders>
              <w:left w:val="single" w:sz="8" w:color="3C3C3C"/>
            </w:tcBorders>
            <w:shd w:val="clear" w:color="auto" w:fill="3C3C3C"/>
          </w:tcPr>
          <w:p>
            <w:pPr>
              <w:jc w:val="center"/>
              <w:ind w:left="408"/>
              <w:spacing w:after="0"/>
              <w:rPr>
                <w:sz w:val="20"/>
                <w:szCs w:val="20"/>
                <w:color w:val="auto"/>
              </w:rPr>
            </w:pPr>
            <w:r>
              <w:rPr>
                <w:rFonts w:ascii="Arial" w:cs="Arial" w:eastAsia="Arial" w:hAnsi="Arial"/>
                <w:sz w:val="14"/>
                <w:szCs w:val="14"/>
                <w:b w:val="1"/>
                <w:bCs w:val="1"/>
                <w:color w:val="FFFFFF"/>
                <w:w w:val="98"/>
              </w:rPr>
              <w:t>column (a))</w:t>
            </w:r>
          </w:p>
        </w:tc>
        <w:tc>
          <w:tcPr>
            <w:tcW w:w="460" w:type="dxa"/>
            <w:vAlign w:val="bottom"/>
            <w:shd w:val="clear" w:color="auto" w:fill="3C3C3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900" w:type="dxa"/>
            <w:vAlign w:val="bottom"/>
            <w:tcBorders>
              <w:left w:val="single" w:sz="8" w:color="3C3C3C"/>
              <w:right w:val="single" w:sz="8" w:color="3C3C3C"/>
            </w:tcBorders>
            <w:shd w:val="clear" w:color="auto" w:fill="3C3C3C"/>
          </w:tcPr>
          <w:p>
            <w:pPr>
              <w:spacing w:after="0"/>
              <w:rPr>
                <w:sz w:val="14"/>
                <w:szCs w:val="14"/>
                <w:color w:val="auto"/>
              </w:rPr>
            </w:pPr>
          </w:p>
        </w:tc>
        <w:tc>
          <w:tcPr>
            <w:tcW w:w="1340" w:type="dxa"/>
            <w:vAlign w:val="bottom"/>
            <w:shd w:val="clear" w:color="auto" w:fill="3C3C3C"/>
          </w:tcPr>
          <w:p>
            <w:pPr>
              <w:spacing w:after="0"/>
              <w:rPr>
                <w:sz w:val="14"/>
                <w:szCs w:val="14"/>
                <w:color w:val="auto"/>
              </w:rPr>
            </w:pPr>
          </w:p>
        </w:tc>
        <w:tc>
          <w:tcPr>
            <w:tcW w:w="380" w:type="dxa"/>
            <w:vAlign w:val="bottom"/>
            <w:shd w:val="clear" w:color="auto" w:fill="3C3C3C"/>
          </w:tcPr>
          <w:p>
            <w:pPr>
              <w:spacing w:after="0"/>
              <w:rPr>
                <w:sz w:val="14"/>
                <w:szCs w:val="14"/>
                <w:color w:val="auto"/>
              </w:rPr>
            </w:pPr>
          </w:p>
        </w:tc>
        <w:tc>
          <w:tcPr>
            <w:tcW w:w="1100" w:type="dxa"/>
            <w:vAlign w:val="bottom"/>
            <w:tcBorders>
              <w:left w:val="single" w:sz="8" w:color="3C3C3C"/>
            </w:tcBorders>
            <w:shd w:val="clear" w:color="auto" w:fill="3C3C3C"/>
          </w:tcPr>
          <w:p>
            <w:pPr>
              <w:spacing w:after="0"/>
              <w:rPr>
                <w:sz w:val="14"/>
                <w:szCs w:val="14"/>
                <w:color w:val="auto"/>
              </w:rPr>
            </w:pPr>
          </w:p>
        </w:tc>
        <w:tc>
          <w:tcPr>
            <w:tcW w:w="360" w:type="dxa"/>
            <w:vAlign w:val="bottom"/>
            <w:shd w:val="clear" w:color="auto" w:fill="3C3C3C"/>
          </w:tcPr>
          <w:p>
            <w:pPr>
              <w:spacing w:after="0"/>
              <w:rPr>
                <w:sz w:val="14"/>
                <w:szCs w:val="14"/>
                <w:color w:val="auto"/>
              </w:rPr>
            </w:pPr>
          </w:p>
        </w:tc>
        <w:tc>
          <w:tcPr>
            <w:tcW w:w="1700" w:type="dxa"/>
            <w:vAlign w:val="bottom"/>
            <w:tcBorders>
              <w:left w:val="single" w:sz="8" w:color="3C3C3C"/>
            </w:tcBorders>
            <w:shd w:val="clear" w:color="auto" w:fill="3C3C3C"/>
          </w:tcPr>
          <w:p>
            <w:pPr>
              <w:spacing w:after="0"/>
              <w:rPr>
                <w:sz w:val="14"/>
                <w:szCs w:val="14"/>
                <w:color w:val="auto"/>
              </w:rPr>
            </w:pPr>
          </w:p>
        </w:tc>
        <w:tc>
          <w:tcPr>
            <w:tcW w:w="460" w:type="dxa"/>
            <w:vAlign w:val="bottom"/>
            <w:shd w:val="clear" w:color="auto" w:fill="3C3C3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900" w:type="dxa"/>
            <w:vAlign w:val="bottom"/>
            <w:tcBorders>
              <w:left w:val="single" w:sz="8" w:color="3C3C3C"/>
              <w:right w:val="single" w:sz="8" w:color="3C3C3C"/>
            </w:tcBorders>
            <w:shd w:val="clear" w:color="auto" w:fill="3C3C3C"/>
          </w:tcPr>
          <w:p>
            <w:pPr>
              <w:spacing w:after="0"/>
              <w:rPr>
                <w:sz w:val="19"/>
                <w:szCs w:val="19"/>
                <w:color w:val="auto"/>
              </w:rPr>
            </w:pPr>
          </w:p>
        </w:tc>
        <w:tc>
          <w:tcPr>
            <w:tcW w:w="1340" w:type="dxa"/>
            <w:vAlign w:val="bottom"/>
            <w:shd w:val="clear" w:color="auto" w:fill="3C3C3C"/>
          </w:tcPr>
          <w:p>
            <w:pPr>
              <w:jc w:val="center"/>
              <w:ind w:left="267"/>
              <w:spacing w:after="0"/>
              <w:rPr>
                <w:sz w:val="20"/>
                <w:szCs w:val="20"/>
                <w:color w:val="auto"/>
              </w:rPr>
            </w:pPr>
            <w:r>
              <w:rPr>
                <w:rFonts w:ascii="Arial" w:cs="Arial" w:eastAsia="Arial" w:hAnsi="Arial"/>
                <w:sz w:val="14"/>
                <w:szCs w:val="14"/>
                <w:b w:val="1"/>
                <w:bCs w:val="1"/>
                <w:color w:val="FFFFFF"/>
                <w:w w:val="93"/>
              </w:rPr>
              <w:t>(a)</w:t>
            </w:r>
          </w:p>
        </w:tc>
        <w:tc>
          <w:tcPr>
            <w:tcW w:w="380" w:type="dxa"/>
            <w:vAlign w:val="bottom"/>
            <w:shd w:val="clear" w:color="auto" w:fill="3C3C3C"/>
          </w:tcPr>
          <w:p>
            <w:pPr>
              <w:spacing w:after="0"/>
              <w:rPr>
                <w:sz w:val="19"/>
                <w:szCs w:val="19"/>
                <w:color w:val="auto"/>
              </w:rPr>
            </w:pPr>
          </w:p>
        </w:tc>
        <w:tc>
          <w:tcPr>
            <w:tcW w:w="1100" w:type="dxa"/>
            <w:vAlign w:val="bottom"/>
          </w:tcPr>
          <w:p>
            <w:pPr>
              <w:jc w:val="center"/>
              <w:ind w:left="287"/>
              <w:spacing w:after="0"/>
              <w:rPr>
                <w:sz w:val="20"/>
                <w:szCs w:val="20"/>
                <w:color w:val="auto"/>
              </w:rPr>
            </w:pPr>
            <w:r>
              <w:rPr>
                <w:rFonts w:ascii="Arial" w:cs="Arial" w:eastAsia="Arial" w:hAnsi="Arial"/>
                <w:sz w:val="14"/>
                <w:szCs w:val="14"/>
                <w:b w:val="1"/>
                <w:bCs w:val="1"/>
                <w:color w:val="FFFFFF"/>
              </w:rPr>
              <w:t>(b)</w:t>
            </w:r>
          </w:p>
        </w:tc>
        <w:tc>
          <w:tcPr>
            <w:tcW w:w="360" w:type="dxa"/>
            <w:vAlign w:val="bottom"/>
            <w:vMerge w:val="restart"/>
          </w:tcPr>
          <w:p>
            <w:pPr>
              <w:jc w:val="right"/>
              <w:ind w:right="29"/>
              <w:spacing w:after="0"/>
              <w:rPr>
                <w:sz w:val="20"/>
                <w:szCs w:val="20"/>
                <w:color w:val="auto"/>
              </w:rPr>
            </w:pPr>
            <w:r>
              <w:rPr>
                <w:rFonts w:ascii="Arial" w:cs="Arial" w:eastAsia="Arial" w:hAnsi="Arial"/>
                <w:sz w:val="10"/>
                <w:szCs w:val="10"/>
                <w:color w:val="auto"/>
              </w:rPr>
              <w:t>(2)</w:t>
            </w:r>
          </w:p>
        </w:tc>
        <w:tc>
          <w:tcPr>
            <w:tcW w:w="1700" w:type="dxa"/>
            <w:vAlign w:val="bottom"/>
          </w:tcPr>
          <w:p>
            <w:pPr>
              <w:jc w:val="center"/>
              <w:ind w:left="408"/>
              <w:spacing w:after="0"/>
              <w:rPr>
                <w:sz w:val="20"/>
                <w:szCs w:val="20"/>
                <w:color w:val="auto"/>
              </w:rPr>
            </w:pPr>
            <w:r>
              <w:rPr>
                <w:rFonts w:ascii="Arial" w:cs="Arial" w:eastAsia="Arial" w:hAnsi="Arial"/>
                <w:sz w:val="14"/>
                <w:szCs w:val="14"/>
                <w:b w:val="1"/>
                <w:bCs w:val="1"/>
                <w:color w:val="FFFFFF"/>
              </w:rPr>
              <w:t>(c)</w:t>
            </w:r>
          </w:p>
        </w:tc>
        <w:tc>
          <w:tcPr>
            <w:tcW w:w="460" w:type="dxa"/>
            <w:vAlign w:val="bottom"/>
            <w:vMerge w:val="restart"/>
          </w:tcPr>
          <w:p>
            <w:pPr>
              <w:jc w:val="right"/>
              <w:ind w:right="29"/>
              <w:spacing w:after="0"/>
              <w:rPr>
                <w:sz w:val="20"/>
                <w:szCs w:val="20"/>
                <w:color w:val="auto"/>
              </w:rPr>
            </w:pPr>
            <w:r>
              <w:rPr>
                <w:rFonts w:ascii="Arial" w:cs="Arial" w:eastAsia="Arial" w:hAnsi="Arial"/>
                <w:sz w:val="10"/>
                <w:szCs w:val="10"/>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5900" w:type="dxa"/>
            <w:vAlign w:val="bottom"/>
            <w:tcBorders>
              <w:left w:val="single" w:sz="8" w:color="B6B6B6"/>
              <w:right w:val="single" w:sz="8" w:color="7D7D7D"/>
            </w:tcBorders>
            <w:vMerge w:val="restart"/>
          </w:tcPr>
          <w:p>
            <w:pPr>
              <w:ind w:left="12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1340" w:type="dxa"/>
            <w:vAlign w:val="bottom"/>
            <w:vMerge w:val="restart"/>
          </w:tcPr>
          <w:p>
            <w:pPr>
              <w:jc w:val="right"/>
              <w:ind w:right="227"/>
              <w:spacing w:after="0"/>
              <w:rPr>
                <w:sz w:val="20"/>
                <w:szCs w:val="20"/>
                <w:color w:val="auto"/>
              </w:rPr>
            </w:pPr>
            <w:r>
              <w:rPr>
                <w:rFonts w:ascii="Arial" w:cs="Arial" w:eastAsia="Arial" w:hAnsi="Arial"/>
                <w:sz w:val="16"/>
                <w:szCs w:val="16"/>
                <w:color w:val="auto"/>
              </w:rPr>
              <w:t>3,418,947</w:t>
            </w:r>
          </w:p>
        </w:tc>
        <w:tc>
          <w:tcPr>
            <w:tcW w:w="380" w:type="dxa"/>
            <w:vAlign w:val="bottom"/>
          </w:tcPr>
          <w:p>
            <w:pPr>
              <w:jc w:val="right"/>
              <w:ind w:right="49"/>
              <w:spacing w:after="0"/>
              <w:rPr>
                <w:sz w:val="20"/>
                <w:szCs w:val="20"/>
                <w:color w:val="auto"/>
              </w:rPr>
            </w:pPr>
            <w:r>
              <w:rPr>
                <w:rFonts w:ascii="Arial" w:cs="Arial" w:eastAsia="Arial" w:hAnsi="Arial"/>
                <w:sz w:val="10"/>
                <w:szCs w:val="10"/>
                <w:color w:val="auto"/>
              </w:rPr>
              <w:t>(1)</w:t>
            </w:r>
          </w:p>
        </w:tc>
        <w:tc>
          <w:tcPr>
            <w:tcW w:w="1100" w:type="dxa"/>
            <w:vAlign w:val="bottom"/>
            <w:tcBorders>
              <w:left w:val="single" w:sz="8" w:color="7D7D7D"/>
            </w:tcBorders>
            <w:vMerge w:val="restart"/>
          </w:tcPr>
          <w:p>
            <w:pPr>
              <w:jc w:val="right"/>
              <w:ind w:right="287"/>
              <w:spacing w:after="0"/>
              <w:rPr>
                <w:sz w:val="20"/>
                <w:szCs w:val="20"/>
                <w:color w:val="auto"/>
              </w:rPr>
            </w:pPr>
            <w:r>
              <w:rPr>
                <w:rFonts w:ascii="Arial" w:cs="Arial" w:eastAsia="Arial" w:hAnsi="Arial"/>
                <w:sz w:val="16"/>
                <w:szCs w:val="16"/>
                <w:color w:val="auto"/>
              </w:rPr>
              <w:t>2.01</w:t>
            </w:r>
          </w:p>
        </w:tc>
        <w:tc>
          <w:tcPr>
            <w:tcW w:w="360" w:type="dxa"/>
            <w:vAlign w:val="bottom"/>
            <w:vMerge w:val="continue"/>
          </w:tcPr>
          <w:p>
            <w:pPr>
              <w:spacing w:after="0"/>
              <w:rPr>
                <w:sz w:val="11"/>
                <w:szCs w:val="11"/>
                <w:color w:val="auto"/>
              </w:rPr>
            </w:pPr>
          </w:p>
        </w:tc>
        <w:tc>
          <w:tcPr>
            <w:tcW w:w="1700" w:type="dxa"/>
            <w:vAlign w:val="bottom"/>
            <w:tcBorders>
              <w:left w:val="single" w:sz="8" w:color="7D7D7D"/>
            </w:tcBorders>
            <w:vMerge w:val="restart"/>
          </w:tcPr>
          <w:p>
            <w:pPr>
              <w:jc w:val="center"/>
              <w:ind w:left="128"/>
              <w:spacing w:after="0"/>
              <w:rPr>
                <w:sz w:val="20"/>
                <w:szCs w:val="20"/>
                <w:color w:val="auto"/>
              </w:rPr>
            </w:pPr>
            <w:r>
              <w:rPr>
                <w:rFonts w:ascii="Arial" w:cs="Arial" w:eastAsia="Arial" w:hAnsi="Arial"/>
                <w:sz w:val="16"/>
                <w:szCs w:val="16"/>
                <w:color w:val="auto"/>
                <w:w w:val="98"/>
              </w:rPr>
              <w:t>7,592,954</w:t>
            </w:r>
          </w:p>
        </w:tc>
        <w:tc>
          <w:tcPr>
            <w:tcW w:w="460" w:type="dxa"/>
            <w:vAlign w:val="bottom"/>
            <w:vMerge w:val="continue"/>
          </w:tcPr>
          <w:p>
            <w:pPr>
              <w:spacing w:after="0"/>
              <w:rPr>
                <w:sz w:val="11"/>
                <w:szCs w:val="11"/>
                <w:color w:val="auto"/>
              </w:rPr>
            </w:pPr>
          </w:p>
        </w:tc>
        <w:tc>
          <w:tcPr>
            <w:tcW w:w="20" w:type="dxa"/>
            <w:vAlign w:val="bottom"/>
            <w:shd w:val="clear" w:color="auto" w:fill="7D7D7D"/>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900" w:type="dxa"/>
            <w:vAlign w:val="bottom"/>
            <w:tcBorders>
              <w:left w:val="single" w:sz="8" w:color="B6B6B6"/>
              <w:right w:val="single" w:sz="8" w:color="7D7D7D"/>
            </w:tcBorders>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Borders>
              <w:left w:val="single" w:sz="8" w:color="7D7D7D"/>
            </w:tcBorders>
            <w:vMerge w:val="continue"/>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Borders>
              <w:left w:val="single" w:sz="8" w:color="7D7D7D"/>
            </w:tcBorders>
            <w:vMerge w:val="continue"/>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shd w:val="clear" w:color="auto" w:fill="7D7D7D"/>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5900" w:type="dxa"/>
            <w:vAlign w:val="bottom"/>
            <w:tcBorders>
              <w:left w:val="single" w:sz="8" w:color="B6B6B6"/>
              <w:bottom w:val="single" w:sz="8" w:color="FAF6EF"/>
              <w:right w:val="single" w:sz="8" w:color="7D7D7D"/>
            </w:tcBorders>
          </w:tcPr>
          <w:p>
            <w:pPr>
              <w:ind w:left="120"/>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1340" w:type="dxa"/>
            <w:vAlign w:val="bottom"/>
            <w:tcBorders>
              <w:bottom w:val="single" w:sz="8" w:color="3C3C3C"/>
            </w:tcBorders>
          </w:tcPr>
          <w:p>
            <w:pPr>
              <w:jc w:val="center"/>
              <w:ind w:left="287"/>
              <w:spacing w:after="0"/>
              <w:rPr>
                <w:sz w:val="20"/>
                <w:szCs w:val="20"/>
                <w:color w:val="auto"/>
              </w:rPr>
            </w:pPr>
            <w:r>
              <w:rPr>
                <w:rFonts w:ascii="Arial" w:cs="Arial" w:eastAsia="Arial" w:hAnsi="Arial"/>
                <w:sz w:val="16"/>
                <w:szCs w:val="16"/>
                <w:color w:val="auto"/>
                <w:w w:val="97"/>
              </w:rPr>
              <w:t>N/A</w:t>
            </w:r>
          </w:p>
        </w:tc>
        <w:tc>
          <w:tcPr>
            <w:tcW w:w="380" w:type="dxa"/>
            <w:vAlign w:val="bottom"/>
            <w:tcBorders>
              <w:bottom w:val="single" w:sz="8" w:color="3C3C3C"/>
            </w:tcBorders>
          </w:tcPr>
          <w:p>
            <w:pPr>
              <w:spacing w:after="0"/>
              <w:rPr>
                <w:sz w:val="20"/>
                <w:szCs w:val="20"/>
                <w:color w:val="auto"/>
              </w:rPr>
            </w:pPr>
          </w:p>
        </w:tc>
        <w:tc>
          <w:tcPr>
            <w:tcW w:w="1100" w:type="dxa"/>
            <w:vAlign w:val="bottom"/>
            <w:tcBorders>
              <w:left w:val="single" w:sz="8" w:color="7D7D7D"/>
              <w:bottom w:val="single" w:sz="8" w:color="3C3C3C"/>
            </w:tcBorders>
          </w:tcPr>
          <w:p>
            <w:pPr>
              <w:jc w:val="center"/>
              <w:ind w:left="287"/>
              <w:spacing w:after="0"/>
              <w:rPr>
                <w:sz w:val="20"/>
                <w:szCs w:val="20"/>
                <w:color w:val="auto"/>
              </w:rPr>
            </w:pPr>
            <w:r>
              <w:rPr>
                <w:rFonts w:ascii="Arial" w:cs="Arial" w:eastAsia="Arial" w:hAnsi="Arial"/>
                <w:sz w:val="16"/>
                <w:szCs w:val="16"/>
                <w:color w:val="auto"/>
                <w:w w:val="97"/>
              </w:rPr>
              <w:t>N/A</w:t>
            </w:r>
          </w:p>
        </w:tc>
        <w:tc>
          <w:tcPr>
            <w:tcW w:w="360" w:type="dxa"/>
            <w:vAlign w:val="bottom"/>
            <w:tcBorders>
              <w:bottom w:val="single" w:sz="8" w:color="3C3C3C"/>
            </w:tcBorders>
          </w:tcPr>
          <w:p>
            <w:pPr>
              <w:spacing w:after="0"/>
              <w:rPr>
                <w:sz w:val="20"/>
                <w:szCs w:val="20"/>
                <w:color w:val="auto"/>
              </w:rPr>
            </w:pPr>
          </w:p>
        </w:tc>
        <w:tc>
          <w:tcPr>
            <w:tcW w:w="1700" w:type="dxa"/>
            <w:vAlign w:val="bottom"/>
            <w:tcBorders>
              <w:left w:val="single" w:sz="8" w:color="7D7D7D"/>
              <w:bottom w:val="single" w:sz="8" w:color="3C3C3C"/>
            </w:tcBorders>
          </w:tcPr>
          <w:p>
            <w:pPr>
              <w:jc w:val="center"/>
              <w:ind w:left="128"/>
              <w:spacing w:after="0"/>
              <w:rPr>
                <w:sz w:val="20"/>
                <w:szCs w:val="20"/>
                <w:color w:val="auto"/>
              </w:rPr>
            </w:pPr>
            <w:r>
              <w:rPr>
                <w:rFonts w:ascii="Arial" w:cs="Arial" w:eastAsia="Arial" w:hAnsi="Arial"/>
                <w:sz w:val="16"/>
                <w:szCs w:val="16"/>
                <w:color w:val="auto"/>
                <w:w w:val="97"/>
              </w:rPr>
              <w:t>N/A</w:t>
            </w:r>
          </w:p>
        </w:tc>
        <w:tc>
          <w:tcPr>
            <w:tcW w:w="460" w:type="dxa"/>
            <w:vAlign w:val="bottom"/>
            <w:tcBorders>
              <w:bottom w:val="single" w:sz="8" w:color="3C3C3C"/>
            </w:tcBorders>
          </w:tcPr>
          <w:p>
            <w:pPr>
              <w:spacing w:after="0"/>
              <w:rPr>
                <w:sz w:val="20"/>
                <w:szCs w:val="20"/>
                <w:color w:val="auto"/>
              </w:rPr>
            </w:pPr>
          </w:p>
        </w:tc>
        <w:tc>
          <w:tcPr>
            <w:tcW w:w="20" w:type="dxa"/>
            <w:vAlign w:val="bottom"/>
            <w:tcBorders>
              <w:bottom w:val="single" w:sz="8" w:color="7D7D7D"/>
            </w:tcBorders>
            <w:shd w:val="clear" w:color="auto" w:fill="7D7D7D"/>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900" w:type="dxa"/>
            <w:vAlign w:val="bottom"/>
            <w:tcBorders>
              <w:left w:val="single" w:sz="8" w:color="B6B6B6"/>
              <w:bottom w:val="single" w:sz="8" w:color="FAF6EF"/>
              <w:right w:val="single" w:sz="8" w:color="7D7D7D"/>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3C3C3C"/>
            </w:tcBorders>
            <w:shd w:val="clear" w:color="auto" w:fill="FAF6EF"/>
          </w:tcPr>
          <w:p>
            <w:pPr>
              <w:jc w:val="center"/>
              <w:ind w:left="287"/>
              <w:spacing w:after="0"/>
              <w:rPr>
                <w:sz w:val="20"/>
                <w:szCs w:val="20"/>
                <w:color w:val="auto"/>
              </w:rPr>
            </w:pPr>
            <w:r>
              <w:rPr>
                <w:rFonts w:ascii="Arial" w:cs="Arial" w:eastAsia="Arial" w:hAnsi="Arial"/>
                <w:sz w:val="16"/>
                <w:szCs w:val="16"/>
                <w:b w:val="1"/>
                <w:bCs w:val="1"/>
                <w:color w:val="auto"/>
                <w:w w:val="98"/>
              </w:rPr>
              <w:t>3,418,947</w:t>
            </w:r>
          </w:p>
        </w:tc>
        <w:tc>
          <w:tcPr>
            <w:tcW w:w="380" w:type="dxa"/>
            <w:vAlign w:val="bottom"/>
            <w:tcBorders>
              <w:bottom w:val="single" w:sz="8" w:color="3C3C3C"/>
            </w:tcBorders>
            <w:shd w:val="clear" w:color="auto" w:fill="FAF6EF"/>
          </w:tcPr>
          <w:p>
            <w:pPr>
              <w:spacing w:after="0"/>
              <w:rPr>
                <w:sz w:val="19"/>
                <w:szCs w:val="19"/>
                <w:color w:val="auto"/>
              </w:rPr>
            </w:pPr>
          </w:p>
        </w:tc>
        <w:tc>
          <w:tcPr>
            <w:tcW w:w="1100" w:type="dxa"/>
            <w:vAlign w:val="bottom"/>
            <w:tcBorders>
              <w:left w:val="single" w:sz="8" w:color="7D7D7D"/>
              <w:bottom w:val="single" w:sz="8" w:color="3C3C3C"/>
            </w:tcBorders>
            <w:shd w:val="clear" w:color="auto" w:fill="FAF6EF"/>
          </w:tcPr>
          <w:p>
            <w:pPr>
              <w:jc w:val="center"/>
              <w:ind w:left="307"/>
              <w:spacing w:after="0"/>
              <w:rPr>
                <w:sz w:val="20"/>
                <w:szCs w:val="20"/>
                <w:color w:val="auto"/>
              </w:rPr>
            </w:pPr>
            <w:r>
              <w:rPr>
                <w:rFonts w:ascii="Arial" w:cs="Arial" w:eastAsia="Arial" w:hAnsi="Arial"/>
                <w:sz w:val="16"/>
                <w:szCs w:val="16"/>
                <w:b w:val="1"/>
                <w:bCs w:val="1"/>
                <w:color w:val="auto"/>
                <w:w w:val="99"/>
              </w:rPr>
              <w:t>$2.01</w:t>
            </w:r>
          </w:p>
        </w:tc>
        <w:tc>
          <w:tcPr>
            <w:tcW w:w="360" w:type="dxa"/>
            <w:vAlign w:val="bottom"/>
            <w:tcBorders>
              <w:bottom w:val="single" w:sz="8" w:color="3C3C3C"/>
            </w:tcBorders>
            <w:shd w:val="clear" w:color="auto" w:fill="FAF6EF"/>
          </w:tcPr>
          <w:p>
            <w:pPr>
              <w:spacing w:after="0"/>
              <w:rPr>
                <w:sz w:val="19"/>
                <w:szCs w:val="19"/>
                <w:color w:val="auto"/>
              </w:rPr>
            </w:pPr>
          </w:p>
        </w:tc>
        <w:tc>
          <w:tcPr>
            <w:tcW w:w="1700" w:type="dxa"/>
            <w:vAlign w:val="bottom"/>
            <w:tcBorders>
              <w:left w:val="single" w:sz="8" w:color="7D7D7D"/>
              <w:bottom w:val="single" w:sz="8" w:color="3C3C3C"/>
            </w:tcBorders>
            <w:shd w:val="clear" w:color="auto" w:fill="FAF6EF"/>
          </w:tcPr>
          <w:p>
            <w:pPr>
              <w:jc w:val="center"/>
              <w:ind w:left="128"/>
              <w:spacing w:after="0"/>
              <w:rPr>
                <w:sz w:val="20"/>
                <w:szCs w:val="20"/>
                <w:color w:val="auto"/>
              </w:rPr>
            </w:pPr>
            <w:r>
              <w:rPr>
                <w:rFonts w:ascii="Arial" w:cs="Arial" w:eastAsia="Arial" w:hAnsi="Arial"/>
                <w:sz w:val="16"/>
                <w:szCs w:val="16"/>
                <w:b w:val="1"/>
                <w:bCs w:val="1"/>
                <w:color w:val="auto"/>
                <w:w w:val="98"/>
              </w:rPr>
              <w:t>7,592,954</w:t>
            </w:r>
          </w:p>
        </w:tc>
        <w:tc>
          <w:tcPr>
            <w:tcW w:w="460" w:type="dxa"/>
            <w:vAlign w:val="bottom"/>
            <w:tcBorders>
              <w:bottom w:val="single" w:sz="8" w:color="3C3C3C"/>
            </w:tcBorders>
            <w:shd w:val="clear" w:color="auto" w:fill="FAF6EF"/>
          </w:tcPr>
          <w:p>
            <w:pPr>
              <w:spacing w:after="0"/>
              <w:rPr>
                <w:sz w:val="19"/>
                <w:szCs w:val="19"/>
                <w:color w:val="auto"/>
              </w:rPr>
            </w:pPr>
          </w:p>
        </w:tc>
        <w:tc>
          <w:tcPr>
            <w:tcW w:w="20" w:type="dxa"/>
            <w:vAlign w:val="bottom"/>
            <w:tcBorders>
              <w:bottom w:val="single" w:sz="8" w:color="3C3C3C"/>
            </w:tcBorders>
            <w:shd w:val="clear" w:color="auto" w:fill="7D7D7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FAF6EF"/>
            </w:tcBorders>
          </w:tcPr>
          <w:p>
            <w:pPr>
              <w:spacing w:after="0" w:line="20" w:lineRule="exact"/>
              <w:rPr>
                <w:sz w:val="1"/>
                <w:szCs w:val="1"/>
                <w:color w:val="auto"/>
              </w:rPr>
            </w:pPr>
          </w:p>
        </w:tc>
        <w:tc>
          <w:tcPr>
            <w:tcW w:w="1340" w:type="dxa"/>
            <w:vAlign w:val="bottom"/>
            <w:tcBorders>
              <w:top w:val="single" w:sz="8" w:color="FAF6EF"/>
              <w:bottom w:val="single" w:sz="8" w:color="3C3C3C"/>
            </w:tcBorders>
          </w:tcPr>
          <w:p>
            <w:pPr>
              <w:spacing w:after="0" w:line="20" w:lineRule="exact"/>
              <w:rPr>
                <w:sz w:val="1"/>
                <w:szCs w:val="1"/>
                <w:color w:val="auto"/>
              </w:rPr>
            </w:pPr>
          </w:p>
        </w:tc>
        <w:tc>
          <w:tcPr>
            <w:tcW w:w="380" w:type="dxa"/>
            <w:vAlign w:val="bottom"/>
            <w:tcBorders>
              <w:top w:val="single" w:sz="8" w:color="FAF6EF"/>
              <w:bottom w:val="single" w:sz="8" w:color="3C3C3C"/>
            </w:tcBorders>
          </w:tcPr>
          <w:p>
            <w:pPr>
              <w:spacing w:after="0" w:line="20" w:lineRule="exact"/>
              <w:rPr>
                <w:sz w:val="1"/>
                <w:szCs w:val="1"/>
                <w:color w:val="auto"/>
              </w:rPr>
            </w:pPr>
          </w:p>
        </w:tc>
        <w:tc>
          <w:tcPr>
            <w:tcW w:w="1100" w:type="dxa"/>
            <w:vAlign w:val="bottom"/>
            <w:tcBorders>
              <w:top w:val="single" w:sz="8" w:color="FAF6EF"/>
              <w:bottom w:val="single" w:sz="8" w:color="3C3C3C"/>
            </w:tcBorders>
          </w:tcPr>
          <w:p>
            <w:pPr>
              <w:spacing w:after="0" w:line="20" w:lineRule="exact"/>
              <w:rPr>
                <w:sz w:val="1"/>
                <w:szCs w:val="1"/>
                <w:color w:val="auto"/>
              </w:rPr>
            </w:pPr>
          </w:p>
        </w:tc>
        <w:tc>
          <w:tcPr>
            <w:tcW w:w="360" w:type="dxa"/>
            <w:vAlign w:val="bottom"/>
            <w:tcBorders>
              <w:top w:val="single" w:sz="8" w:color="FAF6EF"/>
              <w:bottom w:val="single" w:sz="8" w:color="3C3C3C"/>
            </w:tcBorders>
          </w:tcPr>
          <w:p>
            <w:pPr>
              <w:spacing w:after="0" w:line="20" w:lineRule="exact"/>
              <w:rPr>
                <w:sz w:val="1"/>
                <w:szCs w:val="1"/>
                <w:color w:val="auto"/>
              </w:rPr>
            </w:pPr>
          </w:p>
        </w:tc>
        <w:tc>
          <w:tcPr>
            <w:tcW w:w="1700" w:type="dxa"/>
            <w:vAlign w:val="bottom"/>
            <w:tcBorders>
              <w:top w:val="single" w:sz="8" w:color="FAF6EF"/>
              <w:bottom w:val="single" w:sz="8" w:color="3C3C3C"/>
            </w:tcBorders>
          </w:tcPr>
          <w:p>
            <w:pPr>
              <w:spacing w:after="0" w:line="20" w:lineRule="exact"/>
              <w:rPr>
                <w:sz w:val="1"/>
                <w:szCs w:val="1"/>
                <w:color w:val="auto"/>
              </w:rPr>
            </w:pPr>
          </w:p>
        </w:tc>
        <w:tc>
          <w:tcPr>
            <w:tcW w:w="460" w:type="dxa"/>
            <w:vAlign w:val="bottom"/>
            <w:tcBorders>
              <w:top w:val="single" w:sz="8" w:color="FAF6EF"/>
              <w:bottom w:val="single" w:sz="8" w:color="3C3C3C"/>
            </w:tcBorders>
          </w:tcPr>
          <w:p>
            <w:pPr>
              <w:spacing w:after="0" w:line="20" w:lineRule="exact"/>
              <w:rPr>
                <w:sz w:val="1"/>
                <w:szCs w:val="1"/>
                <w:color w:val="auto"/>
              </w:rPr>
            </w:pPr>
          </w:p>
        </w:tc>
        <w:tc>
          <w:tcPr>
            <w:tcW w:w="20" w:type="dxa"/>
            <w:vAlign w:val="bottom"/>
            <w:tcBorders>
              <w:bottom w:val="single" w:sz="8" w:color="3C3C3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-613410</wp:posOffset>
            </wp:positionV>
            <wp:extent cx="7136765" cy="290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765" cy="29019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________</w:t>
      </w:r>
    </w:p>
    <w:p>
      <w:pPr>
        <w:spacing w:after="0" w:line="63" w:lineRule="exact"/>
        <w:rPr>
          <w:sz w:val="20"/>
          <w:szCs w:val="20"/>
          <w:color w:val="auto"/>
        </w:rPr>
      </w:pPr>
    </w:p>
    <w:p>
      <w:pPr>
        <w:jc w:val="both"/>
        <w:ind w:left="240" w:right="20" w:hanging="235"/>
        <w:spacing w:after="0" w:line="270" w:lineRule="auto"/>
        <w:tabs>
          <w:tab w:leader="none" w:pos="226" w:val="left"/>
        </w:tabs>
        <w:numPr>
          <w:ilvl w:val="0"/>
          <w:numId w:val="111"/>
        </w:numPr>
        <w:rPr>
          <w:rFonts w:ascii="Arial" w:cs="Arial" w:eastAsia="Arial" w:hAnsi="Arial"/>
          <w:sz w:val="14"/>
          <w:szCs w:val="14"/>
          <w:color w:val="7D7D7D"/>
        </w:rPr>
      </w:pPr>
      <w:r>
        <w:rPr>
          <w:rFonts w:ascii="Arial" w:cs="Arial" w:eastAsia="Arial" w:hAnsi="Arial"/>
          <w:sz w:val="14"/>
          <w:szCs w:val="14"/>
          <w:color w:val="7D7D7D"/>
        </w:rPr>
        <w:t>Includes (i) an aggregate of 691,103 shares of common stock to be issued upon exercise of options granted under our 2011 Equity Incentive Plan (the “2011 Plan”), (ii) 168,622 shares of our common stock issuable upon settlement of RSUs granted under the 2011 Plan and (iii) 2,559,222 shares of our common stock issuable upon settlement of RSUs granted under the 2021 Plan.</w:t>
      </w:r>
    </w:p>
    <w:p>
      <w:pPr>
        <w:spacing w:after="0" w:line="6" w:lineRule="exact"/>
        <w:rPr>
          <w:sz w:val="20"/>
          <w:szCs w:val="20"/>
          <w:color w:val="auto"/>
        </w:rPr>
      </w:pPr>
    </w:p>
    <w:p>
      <w:pPr>
        <w:ind w:left="240" w:right="20" w:hanging="235"/>
        <w:spacing w:after="0" w:line="287" w:lineRule="auto"/>
        <w:tabs>
          <w:tab w:leader="none" w:pos="226" w:val="left"/>
        </w:tabs>
        <w:numPr>
          <w:ilvl w:val="0"/>
          <w:numId w:val="112"/>
        </w:numPr>
        <w:rPr>
          <w:rFonts w:ascii="Arial" w:cs="Arial" w:eastAsia="Arial" w:hAnsi="Arial"/>
          <w:sz w:val="14"/>
          <w:szCs w:val="14"/>
          <w:color w:val="7D7D7D"/>
        </w:rPr>
      </w:pPr>
      <w:r>
        <w:rPr>
          <w:rFonts w:ascii="Arial" w:cs="Arial" w:eastAsia="Arial" w:hAnsi="Arial"/>
          <w:sz w:val="14"/>
          <w:szCs w:val="14"/>
          <w:color w:val="7D7D7D"/>
        </w:rPr>
        <w:t>Because RSUs do not have an exercise price, the 168,622 shares of common stock issuable upon settlement of RSUs granted under the 2011 Plan and 2,559,222 shares of common stock issuable upon settlement of RSUs granted under the 2021 Plan are not included in the calculation of weighted-average exercise price.</w:t>
      </w:r>
    </w:p>
    <w:p>
      <w:pPr>
        <w:spacing w:after="0" w:line="7" w:lineRule="exact"/>
        <w:rPr>
          <w:sz w:val="20"/>
          <w:szCs w:val="20"/>
          <w:color w:val="auto"/>
        </w:rPr>
      </w:pPr>
    </w:p>
    <w:p>
      <w:pPr>
        <w:jc w:val="both"/>
        <w:ind w:left="240" w:right="20" w:hanging="235"/>
        <w:spacing w:after="0" w:line="270" w:lineRule="auto"/>
        <w:tabs>
          <w:tab w:leader="none" w:pos="226" w:val="left"/>
        </w:tabs>
        <w:numPr>
          <w:ilvl w:val="0"/>
          <w:numId w:val="113"/>
        </w:numPr>
        <w:rPr>
          <w:rFonts w:ascii="Arial" w:cs="Arial" w:eastAsia="Arial" w:hAnsi="Arial"/>
          <w:sz w:val="14"/>
          <w:szCs w:val="14"/>
          <w:color w:val="7D7D7D"/>
        </w:rPr>
      </w:pPr>
      <w:r>
        <w:rPr>
          <w:rFonts w:ascii="Arial" w:cs="Arial" w:eastAsia="Arial" w:hAnsi="Arial"/>
          <w:sz w:val="14"/>
          <w:szCs w:val="14"/>
          <w:color w:val="7D7D7D"/>
        </w:rPr>
        <w:t>Includes 6,059,212 shares of common stock available for issuance under the 2021 Plan and 1,533,742 shares of common stock available for future purchase under the ESPP. The number of shares of common stock reserved for issuance under the ESPP automatically increases on each January 1, by the lesser of (i) 700,000 shares of common stock or (ii) 1.0% of the total number of shares of common stock outstanding on December 31 of the preceding calendar year, as determined by the Board.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000" w:right="319" w:bottom="1440" w:gutter="0" w:footer="0" w:header="0"/>
        </w:sectPr>
      </w:pPr>
    </w:p>
    <w:bookmarkStart w:id="75" w:name="page76"/>
    <w:bookmarkEnd w:id="75"/>
    <w:p>
      <w:pPr>
        <w:spacing w:after="0"/>
        <w:rPr>
          <w:sz w:val="20"/>
          <w:szCs w:val="20"/>
          <w:color w:val="auto"/>
        </w:rPr>
      </w:pPr>
      <w:r>
        <w:rPr>
          <w:rFonts w:ascii="Arial" w:cs="Arial" w:eastAsia="Arial" w:hAnsi="Arial"/>
          <w:sz w:val="31"/>
          <w:szCs w:val="31"/>
          <w:b w:val="1"/>
          <w:bCs w:val="1"/>
          <w:color w:val="auto"/>
        </w:rPr>
        <w:t>Transactions with Related Persons</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Policy and Procedures for Review of Related Party Transactions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Audit Committee Charter provides that the Audit Committee will review and approve all related party transactions. This review will cover any material transaction, arrangement or relationship, or any series of similar transactions, arrangements or relationships, in which we were or are to be a participant, and a related party had or will have a direct or indirect material interest, including, purchases of goods or services by or from the related party or entities in which the related party has a material interest, indebtedness, guarantees of indebtedness and employment by us of a related party.</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Transactions with or Involving Related Persons</w:t>
      </w:r>
    </w:p>
    <w:p>
      <w:pPr>
        <w:spacing w:after="0" w:line="12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Except as disclosed below, since January 1, 2023, we have not been a party to any transactions in which the amount involved exceeded $120,000 and in which any of our executive officers, directors or holders of more than 5% of our capital stock, or any member of the immediate family of any of the above persons, had or will have a direct or indirect material interest, other than compensation arrangements with directors and executive officers, which are described where required under the “Executive Compensation” section of this proxy statement.</w:t>
      </w:r>
    </w:p>
    <w:p>
      <w:pPr>
        <w:spacing w:after="0" w:line="12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open purchase orders with a private company in which Mr. Rodgers, a member of the Board, is a greater than 10% stockholder. We are also a greater than 10% stockholder in this company. The open purchase orders, which may be canceled at any time at our discretion, were valued at approximately $0.9 million. Mr. Rodgers was not involved in the purchase order decisions of either company and does not have a direct financial interest in the transaction.</w:t>
      </w:r>
    </w:p>
    <w:p>
      <w:pPr>
        <w:spacing w:after="0" w:line="13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2018, Mr. Rodgers, a member of the Board, purchased $5.0 million aggregate principal amount of certain convertible notes due 2023 in a private placement. During the year ended December 31, 2023, the $5.0 million aggregate principal amount of these convertible notes were converted into shares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Delinquent Section 16(a) Reports</w:t>
      </w:r>
    </w:p>
    <w:p>
      <w:pPr>
        <w:spacing w:after="0" w:line="26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members of the Board, our executive officers and persons who hold more than 10% of our outstanding common stock are subject to the reporting requirements of Section 16(a) of the Exchange Act, which requires them to file reports of ownership and changes in ownership with the SEC. To our knowledge, based solely upon a review of such reports that were filed with the SEC and written representations that no other reports were required to be filed in 2023, we believe that all required reports were timely filed, with the exception that, due to administrative error, (i) Mr. Ranhoff was late filing one Form 4 with respect to one transaction on the same date and (ii) Mr. Kothandaraman was late filing one Form 4 to report a transfer to a family trust.</w:t>
      </w:r>
    </w:p>
    <w:p>
      <w:pPr>
        <w:spacing w:after="0" w:line="211"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Householding of Proxy Materials</w:t>
      </w:r>
    </w:p>
    <w:p>
      <w:pPr>
        <w:spacing w:after="0" w:line="2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year, a number of brokers with account holders who are Enphase stockholders will be “householding” our proxy materials. A single Notice of Internet Availability of Proxy Materials (“Notice”)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please notify your broker or Enphase. Direct your written request to: Corporate Secretary, Enphase Energy, Inc., 47281 Bayside Parkway, Fremont, CA 94538 or call our Corporate Secretary at 1-707-774-7000. A separate copy of the Notice will be delivered promptly in response to any such request. Stockholders who currently receive multiple copies of the Notices at their addresses and would like to request “householding” of their communications should contact their brokers.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6" w:name="page77"/>
    <w:bookmarkEnd w:id="76"/>
    <w:p>
      <w:pPr>
        <w:spacing w:after="0"/>
        <w:rPr>
          <w:sz w:val="20"/>
          <w:szCs w:val="20"/>
          <w:color w:val="auto"/>
        </w:rPr>
      </w:pPr>
      <w:r>
        <w:rPr>
          <w:rFonts w:ascii="Arial" w:cs="Arial" w:eastAsia="Arial" w:hAnsi="Arial"/>
          <w:sz w:val="31"/>
          <w:szCs w:val="31"/>
          <w:b w:val="1"/>
          <w:bCs w:val="1"/>
          <w:color w:val="auto"/>
        </w:rPr>
        <w:t>Other Matters</w:t>
      </w:r>
    </w:p>
    <w:p>
      <w:pPr>
        <w:spacing w:after="0" w:line="313"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920115</wp:posOffset>
            </wp:positionV>
            <wp:extent cx="24149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14905" cy="8255"/>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280670</wp:posOffset>
            </wp:positionV>
            <wp:extent cx="1286510" cy="5562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86510" cy="55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Badrinarayanan Kothandaraman</w:t>
      </w:r>
    </w:p>
    <w:p>
      <w:pPr>
        <w:ind w:left="5520"/>
        <w:spacing w:after="0"/>
        <w:rPr>
          <w:sz w:val="20"/>
          <w:szCs w:val="20"/>
          <w:color w:val="auto"/>
        </w:rPr>
      </w:pPr>
      <w:r>
        <w:rPr>
          <w:rFonts w:ascii="Arial" w:cs="Arial" w:eastAsia="Arial" w:hAnsi="Arial"/>
          <w:sz w:val="16"/>
          <w:szCs w:val="16"/>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Fremont, California</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4, 2024</w:t>
      </w:r>
    </w:p>
    <w:p>
      <w:pPr>
        <w:spacing w:after="0" w:line="200" w:lineRule="exact"/>
        <w:rPr>
          <w:sz w:val="20"/>
          <w:szCs w:val="20"/>
          <w:color w:val="auto"/>
        </w:rPr>
      </w:pPr>
    </w:p>
    <w:p>
      <w:pPr>
        <w:spacing w:after="0" w:line="307" w:lineRule="exact"/>
        <w:rPr>
          <w:sz w:val="20"/>
          <w:szCs w:val="20"/>
          <w:color w:val="auto"/>
        </w:rPr>
      </w:pPr>
    </w:p>
    <w:p>
      <w:pPr>
        <w:spacing w:after="0" w:line="331" w:lineRule="auto"/>
        <w:rPr>
          <w:sz w:val="20"/>
          <w:szCs w:val="20"/>
          <w:color w:val="auto"/>
        </w:rPr>
      </w:pPr>
      <w:r>
        <w:rPr>
          <w:rFonts w:ascii="Arial" w:cs="Arial" w:eastAsia="Arial" w:hAnsi="Arial"/>
          <w:sz w:val="16"/>
          <w:szCs w:val="16"/>
          <w:b w:val="1"/>
          <w:bCs w:val="1"/>
          <w:color w:val="auto"/>
        </w:rPr>
        <w:t>A copy of our Annual Report to the Securities and Exchange Commission on Form 10-K for the fiscal year ended December 31, 2023 is available without charge upon written request to: Corporate Secretary, Enphase Energy, Inc., 47281 Bayside Parkway, Fremont, CA 94538.</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ind w:right="620"/>
        <w:spacing w:after="0" w:line="319" w:lineRule="auto"/>
        <w:rPr>
          <w:sz w:val="20"/>
          <w:szCs w:val="20"/>
          <w:color w:val="auto"/>
        </w:rPr>
      </w:pPr>
      <w:r>
        <w:rPr>
          <w:rFonts w:ascii="Arial" w:cs="Arial" w:eastAsia="Arial" w:hAnsi="Arial"/>
          <w:sz w:val="42"/>
          <w:szCs w:val="42"/>
          <w:b w:val="1"/>
          <w:bCs w:val="1"/>
          <w:color w:val="auto"/>
        </w:rPr>
        <w:t>Questions and Answers About These Proxy Materials and Voting</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Why did I receive a notice regarding the availability of proxy materials on the internet?</w:t>
      </w:r>
    </w:p>
    <w:p>
      <w:pPr>
        <w:spacing w:after="0" w:line="12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Under rules adopted by the SEC, Enphase Energy, Inc. (sometimes referred to in this proxy statement as “Enphase,” the “Company,” “we,” “our,” or “us”) has elected to provide access to our proxy materials over the internet. We are sending a Notice to our stockholders of record in connection with the solicitation of proxies by the Board for use at the Annual Meeting. All stockholders will have the ability to access the proxy materials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request a printed set of proxy materials. Instructions on how to access the proxy materials over the internet or to request a printed copy may be found in the Notice.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We intend to mail the Notice on or about April 4, 2024 to all stockholders of record entitled to vote at the Annual Meeting.</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Will I receive any other proxy materials by mail?</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We do not expect to send any proxy materials by mail unless requested.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do I attend the Annual Meeting?</w:t>
      </w:r>
    </w:p>
    <w:p>
      <w:pPr>
        <w:spacing w:after="0" w:line="13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This year’s Annual Meeting will be held entirely online to protect the health and safety of our stockholders and employees and to facilitate stockholder participation. You will not be able to attend the Annual Meeting in person. The meeting will be held virtually on Wednesday, May 15, 2024 at 9:00 a.m. Pacific time via live audio-only webcast at </w:t>
      </w:r>
      <w:r>
        <w:rPr>
          <w:rFonts w:ascii="Arial" w:cs="Arial" w:eastAsia="Arial" w:hAnsi="Arial"/>
          <w:sz w:val="16"/>
          <w:szCs w:val="16"/>
          <w:i w:val="1"/>
          <w:iCs w:val="1"/>
          <w:color w:val="auto"/>
        </w:rPr>
        <w:t>www.virtualshareholdermeeting.com/ENPH2024</w:t>
      </w:r>
      <w:r>
        <w:rPr>
          <w:rFonts w:ascii="Arial" w:cs="Arial" w:eastAsia="Arial" w:hAnsi="Arial"/>
          <w:sz w:val="16"/>
          <w:szCs w:val="16"/>
          <w:color w:val="auto"/>
        </w:rPr>
        <w:t>. To attend the Annual Meeting, you will need the 16-digit control number included in the Notice or proxy card, or within the body of the email for electronic delivery recipients. Online log in will begin at 8:30 a.m. Pacific Time and you should allow ample time for the check-in procedures.</w:t>
      </w:r>
    </w:p>
    <w:p>
      <w:pPr>
        <w:spacing w:after="0" w:line="16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The virtual meeting has been designed to provide the same rights to participate as you would have at an in-person meeting. Additional information may be found at </w:t>
      </w:r>
      <w:r>
        <w:rPr>
          <w:rFonts w:ascii="Arial" w:cs="Arial" w:eastAsia="Arial" w:hAnsi="Arial"/>
          <w:sz w:val="16"/>
          <w:szCs w:val="16"/>
          <w:i w:val="1"/>
          <w:iCs w:val="1"/>
          <w:color w:val="auto"/>
        </w:rPr>
        <w:t>https://enphaseenergy.gcs-web.com/shareholder-services/annual-meeting</w:t>
      </w:r>
      <w:r>
        <w:rPr>
          <w:rFonts w:ascii="Arial" w:cs="Arial" w:eastAsia="Arial" w:hAnsi="Arial"/>
          <w:sz w:val="16"/>
          <w:szCs w:val="16"/>
          <w:color w:val="auto"/>
        </w:rPr>
        <w:t>. Information on how to vote by internet before and during the Annual Meeting is discussed below.</w:t>
      </w:r>
    </w:p>
    <w:p>
      <w:pPr>
        <w:spacing w:after="0" w:line="1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do I ask questions at the virtual Annual Meeting?</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Our virtual Annual Meeting allows stockholders to submit questions and comments during the Annual Meeting. You may submit questions during the Annual Meeting in the question box provided at </w:t>
      </w:r>
      <w:r>
        <w:rPr>
          <w:rFonts w:ascii="Arial" w:cs="Arial" w:eastAsia="Arial" w:hAnsi="Arial"/>
          <w:sz w:val="16"/>
          <w:szCs w:val="16"/>
          <w:i w:val="1"/>
          <w:iCs w:val="1"/>
          <w:color w:val="auto"/>
        </w:rPr>
        <w:t>www.virtualshareholdermeeting.com/ENPH2024.</w:t>
      </w:r>
      <w:r>
        <w:rPr>
          <w:rFonts w:ascii="Arial" w:cs="Arial" w:eastAsia="Arial" w:hAnsi="Arial"/>
          <w:sz w:val="16"/>
          <w:szCs w:val="16"/>
          <w:color w:val="auto"/>
        </w:rPr>
        <w:t xml:space="preserve"> All directors and key executive officers are expected to be available to answer questions. We plan to answer questions pertinent to company matters as time allows during the meeting. Questions that are substantially similar may be grouped and answered once to avoid repetition. Stockholder questions related to personal or customer-related matters, that are not pertinent to annual meeting matters, or that contain derogatory references to individuals, use offensive language, or are otherwise out of order or not suitable for the conduct of the annual meeting as determined by the chair will not be addressed during the meeting.</w:t>
      </w:r>
    </w:p>
    <w:p>
      <w:pPr>
        <w:spacing w:after="0" w:line="159" w:lineRule="exact"/>
        <w:rPr>
          <w:sz w:val="20"/>
          <w:szCs w:val="20"/>
          <w:color w:val="auto"/>
        </w:rPr>
      </w:pPr>
    </w:p>
    <w:p>
      <w:pPr>
        <w:ind w:right="180"/>
        <w:spacing w:after="0" w:line="292" w:lineRule="auto"/>
        <w:rPr>
          <w:sz w:val="20"/>
          <w:szCs w:val="20"/>
          <w:color w:val="auto"/>
        </w:rPr>
      </w:pPr>
      <w:r>
        <w:rPr>
          <w:rFonts w:ascii="Arial" w:cs="Arial" w:eastAsia="Arial" w:hAnsi="Arial"/>
          <w:sz w:val="21"/>
          <w:szCs w:val="21"/>
          <w:b w:val="1"/>
          <w:bCs w:val="1"/>
          <w:color w:val="auto"/>
        </w:rPr>
        <w:t>What if during the log-in time or during the Annual Meeting I have technical difficulties or trouble accessing the virtual meeting website?</w:t>
      </w:r>
    </w:p>
    <w:p>
      <w:pPr>
        <w:spacing w:after="0" w:line="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We will have technicians ready to assist you with any technical difficulties you may have accessing the virtual meeting website. If you encounter any difficulties accessing the virtual Annual Meeting audio-only webcast during the log-in or meeting time, please call the technical support number that will be provided on the log-in page at </w:t>
      </w:r>
      <w:r>
        <w:rPr>
          <w:rFonts w:ascii="Arial" w:cs="Arial" w:eastAsia="Arial" w:hAnsi="Arial"/>
          <w:sz w:val="16"/>
          <w:szCs w:val="16"/>
          <w:i w:val="1"/>
          <w:iCs w:val="1"/>
          <w:color w:val="auto"/>
        </w:rPr>
        <w:t>ww.virtualshareholdermeeting.com/ENPH2024</w:t>
      </w:r>
      <w:r>
        <w:rPr>
          <w:rFonts w:ascii="Arial" w:cs="Arial" w:eastAsia="Arial" w:hAnsi="Arial"/>
          <w:sz w:val="16"/>
          <w:szCs w:val="16"/>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if I cannot virtually attend the Annual Meeting?</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You may vote your shares electronically before the meeting by internet, by proxy or by telephone as described below. You do not need to access the Annual Meeting audio-only webcast to vote if you submitted your vote via proxy, by internet or by telephone in advance of the Annual Meeting.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78" w:name="page79"/>
    <w:bookmarkEnd w:id="78"/>
    <w:p>
      <w:pPr>
        <w:spacing w:after="0"/>
        <w:rPr>
          <w:sz w:val="20"/>
          <w:szCs w:val="20"/>
          <w:color w:val="auto"/>
        </w:rPr>
      </w:pPr>
      <w:r>
        <w:rPr>
          <w:rFonts w:ascii="Arial" w:cs="Arial" w:eastAsia="Arial" w:hAnsi="Arial"/>
          <w:sz w:val="21"/>
          <w:szCs w:val="21"/>
          <w:b w:val="1"/>
          <w:bCs w:val="1"/>
          <w:color w:val="auto"/>
        </w:rPr>
        <w:t>Who can vote at the Annual Meeting?</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Only stockholders of record at the close of business on March 19, 2024, the Record Date, will be entitled to vote at the Annual Meeting. On the Record Date, there were 135,988,561 shares of common stock outstanding and entitled to vote.</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For the ten days prior to the Annual Meeting, a list of stockholders of record will be available at our headquarters at 47281 Bayside Parkway, Fremont, CA 94538 for examination by any stockholder for any purpose germane to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 Shares Registered in Your Name</w:t>
      </w:r>
    </w:p>
    <w:p>
      <w:pPr>
        <w:spacing w:after="0" w:line="22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If, on March 19, 2024, your shares were registered directly in your name with our transfer agent, American Stock Transfer &amp; Trust Company, LLC, then you are a stockholder of record. As a stockholder of record, you may vote by internet before or during the Annual Meeting, by telephone or by proxy. Whether or not you plan to attend the meeting, we urge you to fill out and return the proxy card or vote by internet or by telephone before the Annual Meeting to ensure your vote is counted.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Beneficial Owner: Shares Registered in the Name of a Broker or Bank</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If, on March 19, 2024, your shares were held, not in your name, but rather in an account at a brokerage firm, bank, dealer or other similar organization, then you are the beneficial owner of shares held in “street name” and the Notice is being forwarded to you by that organization. Simply follow the voting instructions in such Notice to ensure that your vote is counted. The organization holding your account is considered to be the stockholder of record for purposes of voting at the Annual Meeting. As a beneficial owner, you have the right to direct your broker or other nominee regarding how to vote the shares in your account. You are also invited to virtually attend the Annual Meeting. However, since you are not the stockholder of record, you may not vote your shares by internet during the Annual Meeting unless you request and obtain a valid 16-digit control number from your broker, bank or other nominee.</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am I voting 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There are four matters scheduled for a vote:</w:t>
      </w:r>
    </w:p>
    <w:p>
      <w:pPr>
        <w:spacing w:after="0" w:line="234" w:lineRule="exact"/>
        <w:rPr>
          <w:sz w:val="20"/>
          <w:szCs w:val="20"/>
          <w:color w:val="auto"/>
        </w:rPr>
      </w:pPr>
    </w:p>
    <w:p>
      <w:pPr>
        <w:ind w:left="320" w:right="300" w:hanging="159"/>
        <w:spacing w:after="0" w:line="301" w:lineRule="auto"/>
        <w:tabs>
          <w:tab w:leader="none" w:pos="297" w:val="left"/>
        </w:tabs>
        <w:numPr>
          <w:ilvl w:val="0"/>
          <w:numId w:val="114"/>
        </w:numPr>
        <w:rPr>
          <w:rFonts w:ascii="Arial" w:cs="Arial" w:eastAsia="Arial" w:hAnsi="Arial"/>
          <w:sz w:val="12"/>
          <w:szCs w:val="12"/>
          <w:color w:val="auto"/>
        </w:rPr>
      </w:pPr>
      <w:r>
        <w:rPr>
          <w:rFonts w:ascii="Arial" w:cs="Arial" w:eastAsia="Arial" w:hAnsi="Arial"/>
          <w:sz w:val="16"/>
          <w:szCs w:val="16"/>
          <w:color w:val="auto"/>
        </w:rPr>
        <w:t>Election of our two nominees as Class III directors to serve until the 2027 Annual Meeting of Stockholders or until their successors have been elected and qualified;</w:t>
      </w:r>
    </w:p>
    <w:p>
      <w:pPr>
        <w:spacing w:after="0" w:line="22" w:lineRule="exact"/>
        <w:rPr>
          <w:rFonts w:ascii="Arial" w:cs="Arial" w:eastAsia="Arial" w:hAnsi="Arial"/>
          <w:sz w:val="12"/>
          <w:szCs w:val="12"/>
          <w:color w:val="auto"/>
        </w:rPr>
      </w:pPr>
    </w:p>
    <w:p>
      <w:pPr>
        <w:ind w:left="300" w:hanging="139"/>
        <w:spacing w:after="0"/>
        <w:tabs>
          <w:tab w:leader="none" w:pos="300" w:val="left"/>
        </w:tabs>
        <w:numPr>
          <w:ilvl w:val="0"/>
          <w:numId w:val="114"/>
        </w:numPr>
        <w:rPr>
          <w:rFonts w:ascii="Arial" w:cs="Arial" w:eastAsia="Arial" w:hAnsi="Arial"/>
          <w:sz w:val="12"/>
          <w:szCs w:val="12"/>
          <w:color w:val="auto"/>
        </w:rPr>
      </w:pPr>
      <w:r>
        <w:rPr>
          <w:rFonts w:ascii="Arial" w:cs="Arial" w:eastAsia="Arial" w:hAnsi="Arial"/>
          <w:sz w:val="16"/>
          <w:szCs w:val="16"/>
          <w:color w:val="auto"/>
        </w:rPr>
        <w:t>Approval, on an advisory basis, of the compensation of our named executive officers, as disclosed in this proxy statement;</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14"/>
        </w:numPr>
        <w:rPr>
          <w:rFonts w:ascii="Arial" w:cs="Arial" w:eastAsia="Arial" w:hAnsi="Arial"/>
          <w:sz w:val="12"/>
          <w:szCs w:val="12"/>
          <w:color w:val="auto"/>
        </w:rPr>
      </w:pPr>
      <w:r>
        <w:rPr>
          <w:rFonts w:ascii="Arial" w:cs="Arial" w:eastAsia="Arial" w:hAnsi="Arial"/>
          <w:sz w:val="16"/>
          <w:szCs w:val="16"/>
          <w:color w:val="auto"/>
        </w:rPr>
        <w:t>Approval, on an advisory basis, of the frequency of stockholder advisory votes on executive compensation, as disclosed in this proxy statement; and</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14"/>
        </w:numPr>
        <w:rPr>
          <w:rFonts w:ascii="Arial" w:cs="Arial" w:eastAsia="Arial" w:hAnsi="Arial"/>
          <w:sz w:val="12"/>
          <w:szCs w:val="12"/>
          <w:color w:val="auto"/>
        </w:rPr>
      </w:pPr>
      <w:r>
        <w:rPr>
          <w:rFonts w:ascii="Arial" w:cs="Arial" w:eastAsia="Arial" w:hAnsi="Arial"/>
          <w:sz w:val="16"/>
          <w:szCs w:val="16"/>
          <w:color w:val="auto"/>
        </w:rPr>
        <w:t>Ratification of the selection of Deloitte &amp; Touche LLP as our independent registered public accounting firm for the fiscal year ending December 31, 2024.</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if another matter is properly brought before the meeting?</w:t>
      </w:r>
    </w:p>
    <w:p>
      <w:pPr>
        <w:spacing w:after="0" w:line="125"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do I vote?</w:t>
      </w:r>
    </w:p>
    <w:p>
      <w:pPr>
        <w:spacing w:after="0" w:line="125"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You may vote “FOR” the nominees to the Board, or you may “Withhold” your vote for one or both nominees. For Proposal 3, you may vote “1 YEAR”, “2 YEARS” or “3 YEARS” or abstain from voting. For each other matter to be voted on, you may vote “FOR” or “AGAINST” or abstain from voting.</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procedures for voting are: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 Shares Registered in Your Name</w:t>
      </w:r>
    </w:p>
    <w:p>
      <w:pPr>
        <w:spacing w:after="0" w:line="195"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If you are a stockholder of record, you may vote by internet before or during the Annual Meeting, by telephone or by proxy. Whether or not you plan to attend the Annual Meeting, we urge you to vote by proxy to ensure your vote is counted.</w:t>
      </w:r>
    </w:p>
    <w:p>
      <w:pPr>
        <w:spacing w:after="0" w:line="61" w:lineRule="exact"/>
        <w:rPr>
          <w:sz w:val="20"/>
          <w:szCs w:val="20"/>
          <w:color w:val="auto"/>
        </w:rPr>
      </w:pPr>
    </w:p>
    <w:p>
      <w:pPr>
        <w:ind w:left="300" w:hanging="139"/>
        <w:spacing w:after="0"/>
        <w:tabs>
          <w:tab w:leader="none" w:pos="300" w:val="left"/>
        </w:tabs>
        <w:numPr>
          <w:ilvl w:val="0"/>
          <w:numId w:val="115"/>
        </w:numPr>
        <w:rPr>
          <w:rFonts w:ascii="Arial" w:cs="Arial" w:eastAsia="Arial" w:hAnsi="Arial"/>
          <w:sz w:val="12"/>
          <w:szCs w:val="12"/>
          <w:color w:val="auto"/>
        </w:rPr>
      </w:pPr>
      <w:r>
        <w:rPr>
          <w:rFonts w:ascii="Arial" w:cs="Arial" w:eastAsia="Arial" w:hAnsi="Arial"/>
          <w:sz w:val="16"/>
          <w:szCs w:val="16"/>
          <w:color w:val="auto"/>
        </w:rPr>
        <w:t>To vote through the internet: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79" w:name="page80"/>
    <w:bookmarkEnd w:id="79"/>
    <w:p>
      <w:pPr>
        <w:ind w:left="640" w:right="340" w:hanging="157"/>
        <w:spacing w:after="0" w:line="304" w:lineRule="auto"/>
        <w:rPr>
          <w:sz w:val="20"/>
          <w:szCs w:val="20"/>
          <w:color w:val="auto"/>
        </w:rPr>
      </w:pPr>
      <w:r>
        <w:rPr>
          <w:rFonts w:ascii="Arial" w:cs="Arial" w:eastAsia="Arial" w:hAnsi="Arial"/>
          <w:sz w:val="16"/>
          <w:szCs w:val="16"/>
          <w:color w:val="auto"/>
        </w:rPr>
        <w:t xml:space="preserve">– Before the Annual Meeting, go to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to complete an electronic proxy card. You will need the 16-digit control number included in the Notice or your proxy card or on the instructions that accompanied your proxy materials. Your vote must be received by 8:59 p.m. Pacific Time (11:59 Eastern Time) on May 14, 2024 to be counted.</w:t>
      </w:r>
    </w:p>
    <w:p>
      <w:pPr>
        <w:spacing w:after="0" w:line="6" w:lineRule="exact"/>
        <w:rPr>
          <w:sz w:val="20"/>
          <w:szCs w:val="20"/>
          <w:color w:val="auto"/>
        </w:rPr>
      </w:pPr>
    </w:p>
    <w:p>
      <w:pPr>
        <w:ind w:left="640" w:right="180" w:hanging="157"/>
        <w:spacing w:after="0" w:line="318" w:lineRule="auto"/>
        <w:rPr>
          <w:sz w:val="20"/>
          <w:szCs w:val="20"/>
          <w:color w:val="auto"/>
        </w:rPr>
      </w:pPr>
      <w:r>
        <w:rPr>
          <w:rFonts w:ascii="Arial" w:cs="Arial" w:eastAsia="Arial" w:hAnsi="Arial"/>
          <w:sz w:val="16"/>
          <w:szCs w:val="16"/>
          <w:color w:val="auto"/>
        </w:rPr>
        <w:t xml:space="preserve">– During the Annual Meeting, please visit </w:t>
      </w:r>
      <w:r>
        <w:rPr>
          <w:rFonts w:ascii="Arial" w:cs="Arial" w:eastAsia="Arial" w:hAnsi="Arial"/>
          <w:sz w:val="16"/>
          <w:szCs w:val="16"/>
          <w:i w:val="1"/>
          <w:iCs w:val="1"/>
          <w:color w:val="auto"/>
        </w:rPr>
        <w:t>www.virtualshareholdermeeting.com/ENPH2024</w:t>
      </w:r>
      <w:r>
        <w:rPr>
          <w:rFonts w:ascii="Arial" w:cs="Arial" w:eastAsia="Arial" w:hAnsi="Arial"/>
          <w:sz w:val="16"/>
          <w:szCs w:val="16"/>
          <w:color w:val="auto"/>
        </w:rPr>
        <w:t xml:space="preserve"> and have available the 16-digit control number included in the Notice, on your proxy card or on the instructions that accompanied your proxy materials.</w:t>
      </w:r>
    </w:p>
    <w:p>
      <w:pPr>
        <w:spacing w:after="0" w:line="9" w:lineRule="exact"/>
        <w:rPr>
          <w:sz w:val="20"/>
          <w:szCs w:val="20"/>
          <w:color w:val="auto"/>
        </w:rPr>
      </w:pPr>
    </w:p>
    <w:p>
      <w:pPr>
        <w:jc w:val="both"/>
        <w:ind w:left="320" w:right="240" w:hanging="159"/>
        <w:spacing w:after="0" w:line="304" w:lineRule="auto"/>
        <w:tabs>
          <w:tab w:leader="none" w:pos="297" w:val="left"/>
        </w:tabs>
        <w:numPr>
          <w:ilvl w:val="0"/>
          <w:numId w:val="116"/>
        </w:numPr>
        <w:rPr>
          <w:rFonts w:ascii="Arial" w:cs="Arial" w:eastAsia="Arial" w:hAnsi="Arial"/>
          <w:sz w:val="12"/>
          <w:szCs w:val="12"/>
          <w:color w:val="auto"/>
        </w:rPr>
      </w:pPr>
      <w:r>
        <w:rPr>
          <w:rFonts w:ascii="Arial" w:cs="Arial" w:eastAsia="Arial" w:hAnsi="Arial"/>
          <w:sz w:val="16"/>
          <w:szCs w:val="16"/>
          <w:color w:val="auto"/>
        </w:rPr>
        <w:t>To vote over the telephone before the Annual Meeting, dial toll-free 1-800-690-6903 using a touch-tone phone and follow the recorded instructions. You will need the 16-digit control number included in the Notice or your proxy card or on the instructions that accompanied your proxy materials. Your vote must be received by 8:59 p.m. Pacific Time (11:59 Eastern Time) on May 14, 2024 to be counted.</w:t>
      </w:r>
    </w:p>
    <w:p>
      <w:pPr>
        <w:spacing w:after="0" w:line="6" w:lineRule="exact"/>
        <w:rPr>
          <w:rFonts w:ascii="Arial" w:cs="Arial" w:eastAsia="Arial" w:hAnsi="Arial"/>
          <w:sz w:val="12"/>
          <w:szCs w:val="12"/>
          <w:color w:val="auto"/>
        </w:rPr>
      </w:pPr>
    </w:p>
    <w:p>
      <w:pPr>
        <w:ind w:left="320" w:right="20" w:hanging="159"/>
        <w:spacing w:after="0" w:line="318" w:lineRule="auto"/>
        <w:tabs>
          <w:tab w:leader="none" w:pos="297" w:val="left"/>
        </w:tabs>
        <w:numPr>
          <w:ilvl w:val="0"/>
          <w:numId w:val="116"/>
        </w:numPr>
        <w:rPr>
          <w:rFonts w:ascii="Arial" w:cs="Arial" w:eastAsia="Arial" w:hAnsi="Arial"/>
          <w:sz w:val="12"/>
          <w:szCs w:val="12"/>
          <w:color w:val="auto"/>
        </w:rPr>
      </w:pPr>
      <w:r>
        <w:rPr>
          <w:rFonts w:ascii="Arial" w:cs="Arial" w:eastAsia="Arial" w:hAnsi="Arial"/>
          <w:sz w:val="16"/>
          <w:szCs w:val="16"/>
          <w:color w:val="auto"/>
        </w:rPr>
        <w:t>To vote by mail, you must request printed copies of the proxy materials by mail and then fill out the proxy card and send it back in the envelope provided. If we receive your signed proxy card before the Annual Meeting, we will vote your shares as you direct.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Beneficial Owner: Shares Registered in the Name of Broker or Bank</w:t>
      </w:r>
    </w:p>
    <w:p>
      <w:pPr>
        <w:spacing w:after="0" w:line="18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If you are a beneficial owner of shares registered in the name of your broker, bank, or other nominee, you should have received a Notice containing voting instructions from that organization rather than from Enphase. Simply follow the voting instructions in the Notice to ensure that your vote is counted. To vote through the internet during the Annual Meeting, you must obtain a valid 16-digit control number from your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111760</wp:posOffset>
            </wp:positionV>
            <wp:extent cx="6899275" cy="7797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99275" cy="7797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820"/>
        <w:spacing w:after="0" w:line="304" w:lineRule="auto"/>
        <w:rPr>
          <w:sz w:val="20"/>
          <w:szCs w:val="20"/>
          <w:color w:val="auto"/>
        </w:rPr>
      </w:pPr>
      <w:r>
        <w:rPr>
          <w:rFonts w:ascii="Arial" w:cs="Arial" w:eastAsia="Arial" w:hAnsi="Arial"/>
          <w:sz w:val="16"/>
          <w:szCs w:val="16"/>
          <w:color w:val="auto"/>
        </w:rPr>
        <w:t>We provide internet and telephone proxy voting before the Annual Meeting (or via the internet during the Annual Meeting) to allow you to vote your shares online or by telephone, with procedures designed to ensure the authenticity and correctness of your proxy vote instructions. However, you must bear any costs associated with your internet access, such as usage charges from internet access providers.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many votes do I have?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On each matter to be voted upon, you have one vote for each share of common stock you own as of March 19, 2024.</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are “broker non-votes”?</w:t>
      </w:r>
    </w:p>
    <w:p>
      <w:pPr>
        <w:spacing w:after="0" w:line="12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Broker non-votes occur when a beneficial owner of shares held in “street name” does not give instructions to the broker or nominee holding the shares as to how to vote on matters deemed “non-routine” under the rules of the New York Stock Exchange (NYSE).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“routine,” but not with respect to “non-routine” matters. These un-voted shares are counted as “broker non-votes.” Proposal 1 (election of the nominee for director); Proposal 2 (advisory vote on compensation of named executive officers); and Proposal 3 (advisory vote on the frequency of stockholder advisory votes on executive compensation) are considered “non-routine” matters under NYSE rules, and we therefore expect broker non-votes to exist in connection with those proposals. Proposal 4 (ratification of the selection of our independent registered public accounting firm) is expected to be a “routine” matter.</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If I return a proxy card or otherwise vote without giving specific voting instructions, what happens?</w:t>
      </w:r>
    </w:p>
    <w:p>
      <w:pPr>
        <w:spacing w:after="0" w:line="125"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i w:val="1"/>
          <w:iCs w:val="1"/>
          <w:color w:val="auto"/>
        </w:rPr>
        <w:t xml:space="preserve">Stockholder of Record: Shares Registered in Your Name. </w:t>
      </w:r>
      <w:r>
        <w:rPr>
          <w:rFonts w:ascii="Arial" w:cs="Arial" w:eastAsia="Arial" w:hAnsi="Arial"/>
          <w:sz w:val="16"/>
          <w:szCs w:val="16"/>
          <w:color w:val="auto"/>
        </w:rPr>
        <w:t>If you are a stockholder of record and you return a signed and dated proxy card or otherwise vote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marking voting selections, your shares will be voted, as follows:</w:t>
      </w:r>
    </w:p>
    <w:p>
      <w:pPr>
        <w:spacing w:after="0" w:line="140" w:lineRule="exact"/>
        <w:rPr>
          <w:sz w:val="20"/>
          <w:szCs w:val="20"/>
          <w:color w:val="auto"/>
        </w:rPr>
      </w:pPr>
    </w:p>
    <w:p>
      <w:pPr>
        <w:ind w:left="300" w:hanging="139"/>
        <w:spacing w:after="0"/>
        <w:tabs>
          <w:tab w:leader="none" w:pos="300" w:val="left"/>
        </w:tabs>
        <w:numPr>
          <w:ilvl w:val="0"/>
          <w:numId w:val="117"/>
        </w:numPr>
        <w:rPr>
          <w:rFonts w:ascii="Arial" w:cs="Arial" w:eastAsia="Arial" w:hAnsi="Arial"/>
          <w:sz w:val="12"/>
          <w:szCs w:val="12"/>
          <w:color w:val="auto"/>
        </w:rPr>
      </w:pPr>
      <w:r>
        <w:rPr>
          <w:rFonts w:ascii="Arial" w:cs="Arial" w:eastAsia="Arial" w:hAnsi="Arial"/>
          <w:sz w:val="16"/>
          <w:szCs w:val="16"/>
          <w:color w:val="auto"/>
        </w:rPr>
        <w:t>“FOR” the election of the two Class III nominees named in this proxy statement to serve on the Board;</w:t>
      </w:r>
    </w:p>
    <w:p>
      <w:pPr>
        <w:spacing w:after="0" w:line="90" w:lineRule="exact"/>
        <w:rPr>
          <w:rFonts w:ascii="Arial" w:cs="Arial" w:eastAsia="Arial" w:hAnsi="Arial"/>
          <w:sz w:val="12"/>
          <w:szCs w:val="12"/>
          <w:color w:val="auto"/>
        </w:rPr>
      </w:pPr>
    </w:p>
    <w:p>
      <w:pPr>
        <w:ind w:left="300" w:hanging="139"/>
        <w:spacing w:after="0"/>
        <w:tabs>
          <w:tab w:leader="none" w:pos="300" w:val="left"/>
        </w:tabs>
        <w:numPr>
          <w:ilvl w:val="0"/>
          <w:numId w:val="117"/>
        </w:numPr>
        <w:rPr>
          <w:rFonts w:ascii="Arial" w:cs="Arial" w:eastAsia="Arial" w:hAnsi="Arial"/>
          <w:sz w:val="12"/>
          <w:szCs w:val="12"/>
          <w:color w:val="auto"/>
        </w:rPr>
      </w:pPr>
      <w:r>
        <w:rPr>
          <w:rFonts w:ascii="Arial" w:cs="Arial" w:eastAsia="Arial" w:hAnsi="Arial"/>
          <w:sz w:val="16"/>
          <w:szCs w:val="16"/>
          <w:color w:val="auto"/>
        </w:rPr>
        <w:t>“FOR” the approval, on an advisory basis, of the compensation of our named executive officers;</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67" w:right="319" w:bottom="1440" w:gutter="0" w:footer="0" w:header="0"/>
        </w:sectPr>
      </w:pPr>
    </w:p>
    <w:bookmarkStart w:id="80" w:name="page81"/>
    <w:bookmarkEnd w:id="80"/>
    <w:p>
      <w:pPr>
        <w:ind w:left="300" w:hanging="139"/>
        <w:spacing w:after="0"/>
        <w:tabs>
          <w:tab w:leader="none" w:pos="300" w:val="left"/>
        </w:tabs>
        <w:numPr>
          <w:ilvl w:val="0"/>
          <w:numId w:val="118"/>
        </w:numPr>
        <w:rPr>
          <w:rFonts w:ascii="Arial" w:cs="Arial" w:eastAsia="Arial" w:hAnsi="Arial"/>
          <w:sz w:val="12"/>
          <w:szCs w:val="12"/>
          <w:color w:val="auto"/>
        </w:rPr>
      </w:pPr>
      <w:r>
        <w:rPr>
          <w:rFonts w:ascii="Arial" w:cs="Arial" w:eastAsia="Arial" w:hAnsi="Arial"/>
          <w:sz w:val="16"/>
          <w:szCs w:val="16"/>
          <w:color w:val="auto"/>
        </w:rPr>
        <w:t>“1 YEAR” on the advisory vote on the frequency of stockholder advisory votes on executive compensation; and</w:t>
      </w:r>
    </w:p>
    <w:p>
      <w:pPr>
        <w:spacing w:after="0" w:line="90" w:lineRule="exact"/>
        <w:rPr>
          <w:rFonts w:ascii="Arial" w:cs="Arial" w:eastAsia="Arial" w:hAnsi="Arial"/>
          <w:sz w:val="12"/>
          <w:szCs w:val="12"/>
          <w:color w:val="auto"/>
        </w:rPr>
      </w:pPr>
    </w:p>
    <w:p>
      <w:pPr>
        <w:ind w:left="320" w:right="160" w:hanging="159"/>
        <w:spacing w:after="0" w:line="318" w:lineRule="auto"/>
        <w:tabs>
          <w:tab w:leader="none" w:pos="297" w:val="left"/>
        </w:tabs>
        <w:numPr>
          <w:ilvl w:val="0"/>
          <w:numId w:val="118"/>
        </w:numPr>
        <w:rPr>
          <w:rFonts w:ascii="Arial" w:cs="Arial" w:eastAsia="Arial" w:hAnsi="Arial"/>
          <w:sz w:val="12"/>
          <w:szCs w:val="12"/>
          <w:color w:val="auto"/>
        </w:rPr>
      </w:pPr>
      <w:r>
        <w:rPr>
          <w:rFonts w:ascii="Arial" w:cs="Arial" w:eastAsia="Arial" w:hAnsi="Arial"/>
          <w:sz w:val="16"/>
          <w:szCs w:val="16"/>
          <w:color w:val="auto"/>
        </w:rPr>
        <w:t>“FOR” the ratification of the selection of Deloitte &amp; Touche LLP as our independent registered public accounting firm for the fiscal year ending December 31, 2024.</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If any other matter is properly presented at the meeting, your proxyholder (one of the individuals named on your proxy card) will vote your shares using his or her best judgment.</w:t>
      </w:r>
    </w:p>
    <w:p>
      <w:pPr>
        <w:spacing w:after="0" w:line="14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i w:val="1"/>
          <w:iCs w:val="1"/>
          <w:color w:val="auto"/>
        </w:rPr>
        <w:t xml:space="preserve">Beneficial Owner: Shares Registered in the Name of a Broker or Bank. </w:t>
      </w:r>
      <w:r>
        <w:rPr>
          <w:rFonts w:ascii="Arial" w:cs="Arial" w:eastAsia="Arial" w:hAnsi="Arial"/>
          <w:sz w:val="16"/>
          <w:szCs w:val="16"/>
          <w:color w:val="auto"/>
        </w:rPr>
        <w:t>If you are a beneficial owner of shares registered in the name of your broker, bank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and you do not provide the broker or other nominee that holds your shares with specific voting instructions, the broker or other nominee may vote your shares “FOR” matters considered “routine,” as noted in the section above on “broker non-votes.”</w:t>
      </w:r>
    </w:p>
    <w:p>
      <w:pPr>
        <w:spacing w:after="0" w:line="14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As a reminder, if you a beneficial owner of shares held in street name, in order to ensure your shares are voted in the way you would prefer, you must provide voting instructions to your broker, bank or other nominee by the deadline provided in the materials you receive from your broker, bank or other nominee.</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Who is paying for this proxy solicitation?</w:t>
      </w:r>
    </w:p>
    <w:p>
      <w:pPr>
        <w:spacing w:after="0" w:line="13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nominees for the cost of forwarding proxy materials to beneficial owners.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does it mean if I receive more than one Notice?</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the Notices to ensure that all of your shares are voted.</w:t>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Can I change my vote after submitting my proxy?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 Shares Registered in Your Name</w:t>
      </w:r>
    </w:p>
    <w:p>
      <w:pPr>
        <w:spacing w:after="0" w:line="234"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Yes. You can revoke your proxy at any time before the final vote at the meeting. If you are the record holder of your shares, you may revoke your proxy in any one of the following ways:</w:t>
      </w:r>
    </w:p>
    <w:p>
      <w:pPr>
        <w:spacing w:after="0" w:line="140" w:lineRule="exact"/>
        <w:rPr>
          <w:sz w:val="20"/>
          <w:szCs w:val="20"/>
          <w:color w:val="auto"/>
        </w:rPr>
      </w:pPr>
    </w:p>
    <w:p>
      <w:pPr>
        <w:ind w:left="300" w:hanging="139"/>
        <w:spacing w:after="0"/>
        <w:tabs>
          <w:tab w:leader="none" w:pos="300" w:val="left"/>
        </w:tabs>
        <w:numPr>
          <w:ilvl w:val="0"/>
          <w:numId w:val="119"/>
        </w:numPr>
        <w:rPr>
          <w:rFonts w:ascii="Arial" w:cs="Arial" w:eastAsia="Arial" w:hAnsi="Arial"/>
          <w:sz w:val="12"/>
          <w:szCs w:val="12"/>
          <w:color w:val="auto"/>
        </w:rPr>
      </w:pPr>
      <w:r>
        <w:rPr>
          <w:rFonts w:ascii="Arial" w:cs="Arial" w:eastAsia="Arial" w:hAnsi="Arial"/>
          <w:sz w:val="16"/>
          <w:szCs w:val="16"/>
          <w:color w:val="auto"/>
        </w:rPr>
        <w:t>You may request and submit another properly completed proxy card with a later date.</w:t>
      </w:r>
    </w:p>
    <w:p>
      <w:pPr>
        <w:spacing w:after="0" w:line="90" w:lineRule="exact"/>
        <w:rPr>
          <w:rFonts w:ascii="Arial" w:cs="Arial" w:eastAsia="Arial" w:hAnsi="Arial"/>
          <w:sz w:val="12"/>
          <w:szCs w:val="12"/>
          <w:color w:val="auto"/>
        </w:rPr>
      </w:pPr>
    </w:p>
    <w:p>
      <w:pPr>
        <w:ind w:left="320" w:right="520" w:hanging="159"/>
        <w:spacing w:after="0" w:line="315" w:lineRule="auto"/>
        <w:tabs>
          <w:tab w:leader="none" w:pos="297" w:val="left"/>
        </w:tabs>
        <w:numPr>
          <w:ilvl w:val="0"/>
          <w:numId w:val="119"/>
        </w:numPr>
        <w:rPr>
          <w:rFonts w:ascii="Arial" w:cs="Arial" w:eastAsia="Arial" w:hAnsi="Arial"/>
          <w:sz w:val="12"/>
          <w:szCs w:val="12"/>
          <w:color w:val="auto"/>
        </w:rPr>
      </w:pPr>
      <w:r>
        <w:rPr>
          <w:rFonts w:ascii="Arial" w:cs="Arial" w:eastAsia="Arial" w:hAnsi="Arial"/>
          <w:sz w:val="16"/>
          <w:szCs w:val="16"/>
          <w:color w:val="auto"/>
        </w:rPr>
        <w:t>You may grant a subsequent proxy by telephone or online. You will need the 16-digit control number included in the Notice or your proxy card or on the instructions that accompanied your proxy materials.</w:t>
      </w:r>
    </w:p>
    <w:p>
      <w:pPr>
        <w:ind w:left="300" w:hanging="139"/>
        <w:spacing w:after="0"/>
        <w:tabs>
          <w:tab w:leader="none" w:pos="300" w:val="left"/>
        </w:tabs>
        <w:numPr>
          <w:ilvl w:val="0"/>
          <w:numId w:val="119"/>
        </w:numPr>
        <w:rPr>
          <w:rFonts w:ascii="Arial" w:cs="Arial" w:eastAsia="Arial" w:hAnsi="Arial"/>
          <w:sz w:val="12"/>
          <w:szCs w:val="12"/>
          <w:color w:val="auto"/>
        </w:rPr>
      </w:pPr>
      <w:r>
        <w:rPr>
          <w:rFonts w:ascii="Arial" w:cs="Arial" w:eastAsia="Arial" w:hAnsi="Arial"/>
          <w:sz w:val="16"/>
          <w:szCs w:val="16"/>
          <w:color w:val="auto"/>
        </w:rPr>
        <w:t>You may send a timely written notice that you are revoking your proxy to Enphase’s Corporate Secretary at 47281 Bayside Parkway, Fremont, CA 94538.</w:t>
      </w:r>
    </w:p>
    <w:p>
      <w:pPr>
        <w:spacing w:after="0" w:line="90" w:lineRule="exact"/>
        <w:rPr>
          <w:rFonts w:ascii="Arial" w:cs="Arial" w:eastAsia="Arial" w:hAnsi="Arial"/>
          <w:sz w:val="12"/>
          <w:szCs w:val="12"/>
          <w:color w:val="auto"/>
        </w:rPr>
      </w:pPr>
    </w:p>
    <w:p>
      <w:pPr>
        <w:jc w:val="both"/>
        <w:ind w:left="320" w:right="240" w:hanging="159"/>
        <w:spacing w:after="0" w:line="304" w:lineRule="auto"/>
        <w:tabs>
          <w:tab w:leader="none" w:pos="297" w:val="left"/>
        </w:tabs>
        <w:numPr>
          <w:ilvl w:val="0"/>
          <w:numId w:val="119"/>
        </w:numPr>
        <w:rPr>
          <w:rFonts w:ascii="Arial" w:cs="Arial" w:eastAsia="Arial" w:hAnsi="Arial"/>
          <w:sz w:val="12"/>
          <w:szCs w:val="12"/>
          <w:color w:val="auto"/>
        </w:rPr>
      </w:pPr>
      <w:r>
        <w:rPr>
          <w:rFonts w:ascii="Arial" w:cs="Arial" w:eastAsia="Arial" w:hAnsi="Arial"/>
          <w:sz w:val="16"/>
          <w:szCs w:val="16"/>
          <w:color w:val="auto"/>
        </w:rPr>
        <w:t xml:space="preserve">You may virtually attend the Annual Meeting and vote by internet by visiting </w:t>
      </w:r>
      <w:r>
        <w:rPr>
          <w:rFonts w:ascii="Arial" w:cs="Arial" w:eastAsia="Arial" w:hAnsi="Arial"/>
          <w:sz w:val="16"/>
          <w:szCs w:val="16"/>
          <w:i w:val="1"/>
          <w:iCs w:val="1"/>
          <w:color w:val="auto"/>
        </w:rPr>
        <w:t>www.virtualshareholdermeeting.com/ENPH2024</w:t>
      </w:r>
      <w:r>
        <w:rPr>
          <w:rFonts w:ascii="Arial" w:cs="Arial" w:eastAsia="Arial" w:hAnsi="Arial"/>
          <w:sz w:val="16"/>
          <w:szCs w:val="16"/>
          <w:color w:val="auto"/>
        </w:rPr>
        <w:t>. To virtually attend the Annual Meeting, you will need the 16-digit control number included in the Notice, on your proxy card or on the instructions that accompanied your proxy materials. Simply attending the meeting will not, by itself, revoke your proxy.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Your most current proxy card or telephone or online proxy timely provided to us is the one that is counted.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Beneficial Owner: Shares Registered in the Name of Broker or Bank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If your shares are held by your broker, bank or other nominee, you should follow the instructions provided by your broker or bank.</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1" w:name="page82"/>
    <w:bookmarkEnd w:id="81"/>
    <w:p>
      <w:pPr>
        <w:spacing w:after="0"/>
        <w:rPr>
          <w:sz w:val="20"/>
          <w:szCs w:val="20"/>
          <w:color w:val="auto"/>
        </w:rPr>
      </w:pPr>
      <w:r>
        <w:rPr>
          <w:rFonts w:ascii="Arial" w:cs="Arial" w:eastAsia="Arial" w:hAnsi="Arial"/>
          <w:sz w:val="21"/>
          <w:szCs w:val="21"/>
          <w:b w:val="1"/>
          <w:bCs w:val="1"/>
          <w:color w:val="auto"/>
        </w:rPr>
        <w:t>When are stockholder proposals due for next year’s annual meeting?</w:t>
      </w:r>
    </w:p>
    <w:p>
      <w:pPr>
        <w:spacing w:after="0" w:line="217"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to and received by our Corporate Secretary at 47281 Bayside Parkway, Fremont, CA 94538 by December 5, 2024, and must comply with all requirements of Rule 14a-8 promulgated under the Exchange Act. If you wish to submit a proposal that is not to be included in next year’s proxy materials, but that may be considered at the 2025 Annual Meeting of Stockholders, you must do so in writing following the above instructions not earlier than the close of business on January 15, 2025 and not later than the close of business on February 14, 2025. We advise you to review our Bylaws, which contain additional requirements about advance notice of stockholder proposals and director nominations, including the different notice submission date requirements in the event the 2025 Annual Meeting of Stockholders is held more than 30 days before or after May 15, 2025. The section titled “Nominating and Corporate Governance Committee” in this proxy statement provides additional information on the director nomination process. In addition to satisfying the deadlines in the advance notice provisions of our Bylaws, a stockholder who intends to solicit proxies in support of nominees submitted under these advance notice provisions must provide the notice required under Rule 14a-19 to our Corporate Secretary no later than March 17, 2025; provided that, in the event the 2025 Annual Meeting of Stockholders is held more than 30 days before or after May 15, 2025, such notice must be provided by the later of 60 days prior to the date of the 2025 Annual Meeting of Stockholders or 10 days following the day on which we first publicly announce the date of the 2025 Annual Meeting of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many votes are needed to approve each proposal?</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980" w:type="dxa"/>
            <w:vAlign w:val="bottom"/>
            <w:tcBorders>
              <w:left w:val="single" w:sz="8" w:color="3C3C3C"/>
            </w:tcBorders>
            <w:shd w:val="clear" w:color="auto" w:fill="3C3C3C"/>
          </w:tcPr>
          <w:p>
            <w:pPr>
              <w:jc w:val="center"/>
              <w:spacing w:after="0"/>
              <w:rPr>
                <w:sz w:val="20"/>
                <w:szCs w:val="20"/>
                <w:color w:val="auto"/>
              </w:rPr>
            </w:pPr>
            <w:r>
              <w:rPr>
                <w:rFonts w:ascii="Arial" w:cs="Arial" w:eastAsia="Arial" w:hAnsi="Arial"/>
                <w:sz w:val="14"/>
                <w:szCs w:val="14"/>
                <w:b w:val="1"/>
                <w:bCs w:val="1"/>
                <w:color w:val="FFFFFF"/>
                <w:w w:val="96"/>
              </w:rPr>
              <w:t>Proposal</w:t>
            </w:r>
          </w:p>
        </w:tc>
        <w:tc>
          <w:tcPr>
            <w:tcW w:w="120" w:type="dxa"/>
            <w:vAlign w:val="bottom"/>
            <w:tcBorders>
              <w:right w:val="single" w:sz="8" w:color="3C3C3C"/>
            </w:tcBorders>
            <w:shd w:val="clear" w:color="auto" w:fill="3C3C3C"/>
          </w:tcPr>
          <w:p>
            <w:pPr>
              <w:spacing w:after="0"/>
              <w:rPr>
                <w:sz w:val="16"/>
                <w:szCs w:val="16"/>
                <w:color w:val="auto"/>
              </w:rPr>
            </w:pPr>
          </w:p>
        </w:tc>
        <w:tc>
          <w:tcPr>
            <w:tcW w:w="3180" w:type="dxa"/>
            <w:vAlign w:val="bottom"/>
            <w:tcBorders>
              <w:right w:val="single" w:sz="8" w:color="3C3C3C"/>
            </w:tcBorders>
            <w:vMerge w:val="restart"/>
            <w:shd w:val="clear" w:color="auto" w:fill="3C3C3C"/>
          </w:tcPr>
          <w:p>
            <w:pPr>
              <w:ind w:left="820"/>
              <w:spacing w:after="0"/>
              <w:rPr>
                <w:sz w:val="20"/>
                <w:szCs w:val="20"/>
                <w:color w:val="auto"/>
              </w:rPr>
            </w:pPr>
            <w:r>
              <w:rPr>
                <w:rFonts w:ascii="Arial" w:cs="Arial" w:eastAsia="Arial" w:hAnsi="Arial"/>
                <w:sz w:val="14"/>
                <w:szCs w:val="14"/>
                <w:b w:val="1"/>
                <w:bCs w:val="1"/>
                <w:color w:val="FFFFFF"/>
              </w:rPr>
              <w:t>Proposal Description</w:t>
            </w:r>
          </w:p>
        </w:tc>
        <w:tc>
          <w:tcPr>
            <w:tcW w:w="3820" w:type="dxa"/>
            <w:vAlign w:val="bottom"/>
            <w:tcBorders>
              <w:right w:val="single" w:sz="8" w:color="3C3C3C"/>
            </w:tcBorders>
            <w:vMerge w:val="restart"/>
            <w:shd w:val="clear" w:color="auto" w:fill="3C3C3C"/>
          </w:tcPr>
          <w:p>
            <w:pPr>
              <w:ind w:left="940"/>
              <w:spacing w:after="0"/>
              <w:rPr>
                <w:sz w:val="20"/>
                <w:szCs w:val="20"/>
                <w:color w:val="auto"/>
              </w:rPr>
            </w:pPr>
            <w:r>
              <w:rPr>
                <w:rFonts w:ascii="Arial" w:cs="Arial" w:eastAsia="Arial" w:hAnsi="Arial"/>
                <w:sz w:val="14"/>
                <w:szCs w:val="14"/>
                <w:b w:val="1"/>
                <w:bCs w:val="1"/>
                <w:color w:val="FFFFFF"/>
              </w:rPr>
              <w:t>Vote Required for Approval</w:t>
            </w:r>
          </w:p>
        </w:tc>
        <w:tc>
          <w:tcPr>
            <w:tcW w:w="1560" w:type="dxa"/>
            <w:vAlign w:val="bottom"/>
            <w:tcBorders>
              <w:right w:val="single" w:sz="8" w:color="3C3C3C"/>
            </w:tcBorders>
            <w:vMerge w:val="restart"/>
            <w:shd w:val="clear" w:color="auto" w:fill="3C3C3C"/>
          </w:tcPr>
          <w:p>
            <w:pPr>
              <w:jc w:val="center"/>
              <w:ind w:right="43"/>
              <w:spacing w:after="0"/>
              <w:rPr>
                <w:sz w:val="20"/>
                <w:szCs w:val="20"/>
                <w:color w:val="auto"/>
              </w:rPr>
            </w:pPr>
            <w:r>
              <w:rPr>
                <w:rFonts w:ascii="Arial" w:cs="Arial" w:eastAsia="Arial" w:hAnsi="Arial"/>
                <w:sz w:val="14"/>
                <w:szCs w:val="14"/>
                <w:b w:val="1"/>
                <w:bCs w:val="1"/>
                <w:color w:val="FFFFFF"/>
                <w:w w:val="99"/>
              </w:rPr>
              <w:t>Effect of Abstentions</w:t>
            </w:r>
          </w:p>
        </w:tc>
        <w:tc>
          <w:tcPr>
            <w:tcW w:w="158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Effect of Broker Non-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980" w:type="dxa"/>
            <w:vAlign w:val="bottom"/>
            <w:tcBorders>
              <w:left w:val="single" w:sz="8" w:color="3C3C3C"/>
            </w:tcBorders>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rPr>
              <w:t>Number</w:t>
            </w:r>
          </w:p>
        </w:tc>
        <w:tc>
          <w:tcPr>
            <w:tcW w:w="120" w:type="dxa"/>
            <w:vAlign w:val="bottom"/>
            <w:tcBorders>
              <w:right w:val="single" w:sz="8" w:color="3C3C3C"/>
            </w:tcBorders>
            <w:shd w:val="clear" w:color="auto" w:fill="3C3C3C"/>
          </w:tcPr>
          <w:p>
            <w:pPr>
              <w:spacing w:after="0"/>
              <w:rPr>
                <w:sz w:val="8"/>
                <w:szCs w:val="8"/>
                <w:color w:val="auto"/>
              </w:rPr>
            </w:pPr>
          </w:p>
        </w:tc>
        <w:tc>
          <w:tcPr>
            <w:tcW w:w="3180" w:type="dxa"/>
            <w:vAlign w:val="bottom"/>
            <w:tcBorders>
              <w:right w:val="single" w:sz="8" w:color="3C3C3C"/>
            </w:tcBorders>
            <w:vMerge w:val="continue"/>
            <w:shd w:val="clear" w:color="auto" w:fill="3C3C3C"/>
          </w:tcPr>
          <w:p>
            <w:pPr>
              <w:spacing w:after="0"/>
              <w:rPr>
                <w:sz w:val="8"/>
                <w:szCs w:val="8"/>
                <w:color w:val="auto"/>
              </w:rPr>
            </w:pPr>
          </w:p>
        </w:tc>
        <w:tc>
          <w:tcPr>
            <w:tcW w:w="3820" w:type="dxa"/>
            <w:vAlign w:val="bottom"/>
            <w:tcBorders>
              <w:right w:val="single" w:sz="8" w:color="3C3C3C"/>
            </w:tcBorders>
            <w:vMerge w:val="continue"/>
            <w:shd w:val="clear" w:color="auto" w:fill="3C3C3C"/>
          </w:tcPr>
          <w:p>
            <w:pPr>
              <w:spacing w:after="0"/>
              <w:rPr>
                <w:sz w:val="8"/>
                <w:szCs w:val="8"/>
                <w:color w:val="auto"/>
              </w:rPr>
            </w:pPr>
          </w:p>
        </w:tc>
        <w:tc>
          <w:tcPr>
            <w:tcW w:w="1560" w:type="dxa"/>
            <w:vAlign w:val="bottom"/>
            <w:tcBorders>
              <w:right w:val="single" w:sz="8" w:color="3C3C3C"/>
            </w:tcBorders>
            <w:vMerge w:val="continue"/>
            <w:shd w:val="clear" w:color="auto" w:fill="3C3C3C"/>
          </w:tcPr>
          <w:p>
            <w:pPr>
              <w:spacing w:after="0"/>
              <w:rPr>
                <w:sz w:val="8"/>
                <w:szCs w:val="8"/>
                <w:color w:val="auto"/>
              </w:rPr>
            </w:pPr>
          </w:p>
        </w:tc>
        <w:tc>
          <w:tcPr>
            <w:tcW w:w="1580" w:type="dxa"/>
            <w:vAlign w:val="bottom"/>
            <w:vMerge w:val="restart"/>
            <w:shd w:val="clear" w:color="auto" w:fill="3C3C3C"/>
          </w:tcPr>
          <w:p>
            <w:pPr>
              <w:jc w:val="center"/>
              <w:spacing w:after="0"/>
              <w:rPr>
                <w:sz w:val="20"/>
                <w:szCs w:val="20"/>
                <w:color w:val="auto"/>
              </w:rPr>
            </w:pPr>
            <w:r>
              <w:rPr>
                <w:rFonts w:ascii="Arial" w:cs="Arial" w:eastAsia="Arial" w:hAnsi="Arial"/>
                <w:sz w:val="14"/>
                <w:szCs w:val="14"/>
                <w:b w:val="1"/>
                <w:bCs w:val="1"/>
                <w:color w:val="FFFFFF"/>
                <w:w w:val="99"/>
              </w:rPr>
              <w:t>Votes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80" w:type="dxa"/>
            <w:vAlign w:val="bottom"/>
            <w:tcBorders>
              <w:left w:val="single" w:sz="8" w:color="3C3C3C"/>
            </w:tcBorders>
            <w:vMerge w:val="continue"/>
            <w:shd w:val="clear" w:color="auto" w:fill="3C3C3C"/>
          </w:tcPr>
          <w:p>
            <w:pPr>
              <w:spacing w:after="0"/>
              <w:rPr>
                <w:sz w:val="9"/>
                <w:szCs w:val="9"/>
                <w:color w:val="auto"/>
              </w:rPr>
            </w:pPr>
          </w:p>
        </w:tc>
        <w:tc>
          <w:tcPr>
            <w:tcW w:w="120" w:type="dxa"/>
            <w:vAlign w:val="bottom"/>
            <w:tcBorders>
              <w:right w:val="single" w:sz="8" w:color="3C3C3C"/>
            </w:tcBorders>
            <w:shd w:val="clear" w:color="auto" w:fill="3C3C3C"/>
          </w:tcPr>
          <w:p>
            <w:pPr>
              <w:spacing w:after="0"/>
              <w:rPr>
                <w:sz w:val="9"/>
                <w:szCs w:val="9"/>
                <w:color w:val="auto"/>
              </w:rPr>
            </w:pPr>
          </w:p>
        </w:tc>
        <w:tc>
          <w:tcPr>
            <w:tcW w:w="3180" w:type="dxa"/>
            <w:vAlign w:val="bottom"/>
            <w:tcBorders>
              <w:right w:val="single" w:sz="8" w:color="3C3C3C"/>
            </w:tcBorders>
            <w:shd w:val="clear" w:color="auto" w:fill="3C3C3C"/>
          </w:tcPr>
          <w:p>
            <w:pPr>
              <w:spacing w:after="0"/>
              <w:rPr>
                <w:sz w:val="9"/>
                <w:szCs w:val="9"/>
                <w:color w:val="auto"/>
              </w:rPr>
            </w:pPr>
          </w:p>
        </w:tc>
        <w:tc>
          <w:tcPr>
            <w:tcW w:w="3820" w:type="dxa"/>
            <w:vAlign w:val="bottom"/>
            <w:tcBorders>
              <w:right w:val="single" w:sz="8" w:color="3C3C3C"/>
            </w:tcBorders>
            <w:shd w:val="clear" w:color="auto" w:fill="3C3C3C"/>
          </w:tcPr>
          <w:p>
            <w:pPr>
              <w:spacing w:after="0"/>
              <w:rPr>
                <w:sz w:val="9"/>
                <w:szCs w:val="9"/>
                <w:color w:val="auto"/>
              </w:rPr>
            </w:pPr>
          </w:p>
        </w:tc>
        <w:tc>
          <w:tcPr>
            <w:tcW w:w="1560" w:type="dxa"/>
            <w:vAlign w:val="bottom"/>
            <w:tcBorders>
              <w:right w:val="single" w:sz="8" w:color="3C3C3C"/>
            </w:tcBorders>
            <w:shd w:val="clear" w:color="auto" w:fill="3C3C3C"/>
          </w:tcPr>
          <w:p>
            <w:pPr>
              <w:spacing w:after="0"/>
              <w:rPr>
                <w:sz w:val="9"/>
                <w:szCs w:val="9"/>
                <w:color w:val="auto"/>
              </w:rPr>
            </w:pPr>
          </w:p>
        </w:tc>
        <w:tc>
          <w:tcPr>
            <w:tcW w:w="1580" w:type="dxa"/>
            <w:vAlign w:val="bottom"/>
            <w:vMerge w:val="continue"/>
            <w:shd w:val="clear" w:color="auto" w:fill="3C3C3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980" w:type="dxa"/>
            <w:vAlign w:val="bottom"/>
            <w:tcBorders>
              <w:left w:val="single" w:sz="8" w:color="B6B6B6"/>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89"/>
              </w:rPr>
              <w:t>1</w:t>
            </w:r>
          </w:p>
        </w:tc>
        <w:tc>
          <w:tcPr>
            <w:tcW w:w="120" w:type="dxa"/>
            <w:vAlign w:val="bottom"/>
            <w:tcBorders>
              <w:right w:val="single" w:sz="8" w:color="B6B6B6"/>
            </w:tcBorders>
            <w:shd w:val="clear" w:color="auto" w:fill="FAF6EF"/>
          </w:tcPr>
          <w:p>
            <w:pPr>
              <w:spacing w:after="0"/>
              <w:rPr>
                <w:sz w:val="24"/>
                <w:szCs w:val="24"/>
                <w:color w:val="auto"/>
              </w:rPr>
            </w:pPr>
          </w:p>
        </w:tc>
        <w:tc>
          <w:tcPr>
            <w:tcW w:w="3180" w:type="dxa"/>
            <w:vAlign w:val="bottom"/>
            <w:tcBorders>
              <w:right w:val="single" w:sz="8" w:color="B6B6B6"/>
            </w:tcBorders>
            <w:shd w:val="clear" w:color="auto" w:fill="FAF6EF"/>
          </w:tcPr>
          <w:p>
            <w:pPr>
              <w:ind w:left="80"/>
              <w:spacing w:after="0"/>
              <w:rPr>
                <w:sz w:val="20"/>
                <w:szCs w:val="20"/>
                <w:color w:val="auto"/>
              </w:rPr>
            </w:pPr>
            <w:r>
              <w:rPr>
                <w:rFonts w:ascii="Arial" w:cs="Arial" w:eastAsia="Arial" w:hAnsi="Arial"/>
                <w:sz w:val="16"/>
                <w:szCs w:val="16"/>
                <w:color w:val="auto"/>
              </w:rPr>
              <w:t>Election of Class III Nominees</w:t>
            </w:r>
          </w:p>
        </w:tc>
        <w:tc>
          <w:tcPr>
            <w:tcW w:w="3820" w:type="dxa"/>
            <w:vAlign w:val="bottom"/>
            <w:tcBorders>
              <w:right w:val="single" w:sz="8" w:color="B6B6B6"/>
            </w:tcBorders>
            <w:shd w:val="clear" w:color="auto" w:fill="FAF6EF"/>
          </w:tcPr>
          <w:p>
            <w:pPr>
              <w:ind w:left="100"/>
              <w:spacing w:after="0"/>
              <w:rPr>
                <w:sz w:val="20"/>
                <w:szCs w:val="20"/>
                <w:color w:val="auto"/>
              </w:rPr>
            </w:pPr>
            <w:r>
              <w:rPr>
                <w:rFonts w:ascii="Arial" w:cs="Arial" w:eastAsia="Arial" w:hAnsi="Arial"/>
                <w:sz w:val="16"/>
                <w:szCs w:val="16"/>
                <w:color w:val="auto"/>
              </w:rPr>
              <w:t>Nominees receiving the most “FOR” votes will be</w:t>
            </w:r>
          </w:p>
        </w:tc>
        <w:tc>
          <w:tcPr>
            <w:tcW w:w="1560" w:type="dxa"/>
            <w:vAlign w:val="bottom"/>
            <w:tcBorders>
              <w:right w:val="single" w:sz="8" w:color="B6B6B6"/>
            </w:tcBorders>
            <w:shd w:val="clear" w:color="auto" w:fill="FAF6EF"/>
          </w:tcPr>
          <w:p>
            <w:pPr>
              <w:jc w:val="center"/>
              <w:ind w:right="43"/>
              <w:spacing w:after="0"/>
              <w:rPr>
                <w:sz w:val="20"/>
                <w:szCs w:val="20"/>
                <w:color w:val="auto"/>
              </w:rPr>
            </w:pPr>
            <w:r>
              <w:rPr>
                <w:rFonts w:ascii="Arial" w:cs="Arial" w:eastAsia="Arial" w:hAnsi="Arial"/>
                <w:sz w:val="16"/>
                <w:szCs w:val="16"/>
                <w:color w:val="auto"/>
                <w:w w:val="98"/>
              </w:rPr>
              <w:t>Not applicable</w:t>
            </w:r>
          </w:p>
        </w:tc>
        <w:tc>
          <w:tcPr>
            <w:tcW w:w="15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6"/>
              </w:rPr>
              <w:t>No effect</w:t>
            </w:r>
          </w:p>
        </w:tc>
        <w:tc>
          <w:tcPr>
            <w:tcW w:w="20" w:type="dxa"/>
            <w:vAlign w:val="bottom"/>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B6B6B6"/>
            </w:tcBorders>
            <w:shd w:val="clear" w:color="auto" w:fill="FAF6EF"/>
          </w:tcPr>
          <w:p>
            <w:pPr>
              <w:spacing w:after="0"/>
              <w:rPr>
                <w:sz w:val="15"/>
                <w:szCs w:val="15"/>
                <w:color w:val="auto"/>
              </w:rPr>
            </w:pPr>
          </w:p>
        </w:tc>
        <w:tc>
          <w:tcPr>
            <w:tcW w:w="120" w:type="dxa"/>
            <w:vAlign w:val="bottom"/>
            <w:tcBorders>
              <w:right w:val="single" w:sz="8" w:color="B6B6B6"/>
            </w:tcBorders>
            <w:shd w:val="clear" w:color="auto" w:fill="FAF6EF"/>
          </w:tcPr>
          <w:p>
            <w:pPr>
              <w:spacing w:after="0"/>
              <w:rPr>
                <w:sz w:val="15"/>
                <w:szCs w:val="15"/>
                <w:color w:val="auto"/>
              </w:rPr>
            </w:pPr>
          </w:p>
        </w:tc>
        <w:tc>
          <w:tcPr>
            <w:tcW w:w="3180" w:type="dxa"/>
            <w:vAlign w:val="bottom"/>
            <w:tcBorders>
              <w:right w:val="single" w:sz="8" w:color="B6B6B6"/>
            </w:tcBorders>
            <w:shd w:val="clear" w:color="auto" w:fill="FAF6EF"/>
          </w:tcPr>
          <w:p>
            <w:pPr>
              <w:spacing w:after="0"/>
              <w:rPr>
                <w:sz w:val="15"/>
                <w:szCs w:val="15"/>
                <w:color w:val="auto"/>
              </w:rPr>
            </w:pPr>
          </w:p>
        </w:tc>
        <w:tc>
          <w:tcPr>
            <w:tcW w:w="3820" w:type="dxa"/>
            <w:vAlign w:val="bottom"/>
            <w:tcBorders>
              <w:right w:val="single" w:sz="8" w:color="B6B6B6"/>
            </w:tcBorders>
            <w:shd w:val="clear" w:color="auto" w:fill="FAF6EF"/>
          </w:tcPr>
          <w:p>
            <w:pPr>
              <w:ind w:left="100"/>
              <w:spacing w:after="0" w:line="183" w:lineRule="exact"/>
              <w:rPr>
                <w:sz w:val="20"/>
                <w:szCs w:val="20"/>
                <w:color w:val="auto"/>
              </w:rPr>
            </w:pPr>
            <w:r>
              <w:rPr>
                <w:rFonts w:ascii="Arial" w:cs="Arial" w:eastAsia="Arial" w:hAnsi="Arial"/>
                <w:sz w:val="16"/>
                <w:szCs w:val="16"/>
                <w:color w:val="auto"/>
              </w:rPr>
              <w:t>elected; withheld votes will have no effect. Note,</w:t>
            </w:r>
          </w:p>
        </w:tc>
        <w:tc>
          <w:tcPr>
            <w:tcW w:w="1560" w:type="dxa"/>
            <w:vAlign w:val="bottom"/>
            <w:tcBorders>
              <w:right w:val="single" w:sz="8" w:color="B6B6B6"/>
            </w:tcBorders>
            <w:shd w:val="clear" w:color="auto" w:fill="FAF6EF"/>
          </w:tcPr>
          <w:p>
            <w:pPr>
              <w:spacing w:after="0"/>
              <w:rPr>
                <w:sz w:val="15"/>
                <w:szCs w:val="15"/>
                <w:color w:val="auto"/>
              </w:rPr>
            </w:pPr>
          </w:p>
        </w:tc>
        <w:tc>
          <w:tcPr>
            <w:tcW w:w="1580" w:type="dxa"/>
            <w:vAlign w:val="bottom"/>
            <w:shd w:val="clear" w:color="auto" w:fill="FAF6EF"/>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B6B6B6"/>
            </w:tcBorders>
            <w:shd w:val="clear" w:color="auto" w:fill="FAF6EF"/>
          </w:tcPr>
          <w:p>
            <w:pPr>
              <w:spacing w:after="0"/>
              <w:rPr>
                <w:sz w:val="15"/>
                <w:szCs w:val="15"/>
                <w:color w:val="auto"/>
              </w:rPr>
            </w:pPr>
          </w:p>
        </w:tc>
        <w:tc>
          <w:tcPr>
            <w:tcW w:w="120" w:type="dxa"/>
            <w:vAlign w:val="bottom"/>
            <w:tcBorders>
              <w:right w:val="single" w:sz="8" w:color="B6B6B6"/>
            </w:tcBorders>
            <w:shd w:val="clear" w:color="auto" w:fill="FAF6EF"/>
          </w:tcPr>
          <w:p>
            <w:pPr>
              <w:spacing w:after="0"/>
              <w:rPr>
                <w:sz w:val="15"/>
                <w:szCs w:val="15"/>
                <w:color w:val="auto"/>
              </w:rPr>
            </w:pPr>
          </w:p>
        </w:tc>
        <w:tc>
          <w:tcPr>
            <w:tcW w:w="3180" w:type="dxa"/>
            <w:vAlign w:val="bottom"/>
            <w:tcBorders>
              <w:right w:val="single" w:sz="8" w:color="B6B6B6"/>
            </w:tcBorders>
            <w:shd w:val="clear" w:color="auto" w:fill="FAF6EF"/>
          </w:tcPr>
          <w:p>
            <w:pPr>
              <w:spacing w:after="0"/>
              <w:rPr>
                <w:sz w:val="15"/>
                <w:szCs w:val="15"/>
                <w:color w:val="auto"/>
              </w:rPr>
            </w:pPr>
          </w:p>
        </w:tc>
        <w:tc>
          <w:tcPr>
            <w:tcW w:w="3820" w:type="dxa"/>
            <w:vAlign w:val="bottom"/>
            <w:tcBorders>
              <w:right w:val="single" w:sz="8" w:color="B6B6B6"/>
            </w:tcBorders>
            <w:shd w:val="clear" w:color="auto" w:fill="FAF6EF"/>
          </w:tcPr>
          <w:p>
            <w:pPr>
              <w:ind w:left="100"/>
              <w:spacing w:after="0" w:line="183" w:lineRule="exact"/>
              <w:rPr>
                <w:sz w:val="20"/>
                <w:szCs w:val="20"/>
                <w:color w:val="auto"/>
              </w:rPr>
            </w:pPr>
            <w:r>
              <w:rPr>
                <w:rFonts w:ascii="Arial" w:cs="Arial" w:eastAsia="Arial" w:hAnsi="Arial"/>
                <w:sz w:val="16"/>
                <w:szCs w:val="16"/>
                <w:color w:val="auto"/>
              </w:rPr>
              <w:t>however, that our Corporate Governance</w:t>
            </w:r>
          </w:p>
        </w:tc>
        <w:tc>
          <w:tcPr>
            <w:tcW w:w="1560" w:type="dxa"/>
            <w:vAlign w:val="bottom"/>
            <w:tcBorders>
              <w:right w:val="single" w:sz="8" w:color="B6B6B6"/>
            </w:tcBorders>
            <w:shd w:val="clear" w:color="auto" w:fill="FAF6EF"/>
          </w:tcPr>
          <w:p>
            <w:pPr>
              <w:spacing w:after="0"/>
              <w:rPr>
                <w:sz w:val="15"/>
                <w:szCs w:val="15"/>
                <w:color w:val="auto"/>
              </w:rPr>
            </w:pPr>
          </w:p>
        </w:tc>
        <w:tc>
          <w:tcPr>
            <w:tcW w:w="1580" w:type="dxa"/>
            <w:vAlign w:val="bottom"/>
            <w:shd w:val="clear" w:color="auto" w:fill="FAF6EF"/>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Borders>
              <w:left w:val="single" w:sz="8" w:color="B6B6B6"/>
            </w:tcBorders>
            <w:shd w:val="clear" w:color="auto" w:fill="FAF6EF"/>
          </w:tcPr>
          <w:p>
            <w:pPr>
              <w:spacing w:after="0"/>
              <w:rPr>
                <w:sz w:val="17"/>
                <w:szCs w:val="17"/>
                <w:color w:val="auto"/>
              </w:rPr>
            </w:pPr>
          </w:p>
        </w:tc>
        <w:tc>
          <w:tcPr>
            <w:tcW w:w="120" w:type="dxa"/>
            <w:vAlign w:val="bottom"/>
            <w:tcBorders>
              <w:right w:val="single" w:sz="8" w:color="B6B6B6"/>
            </w:tcBorders>
            <w:shd w:val="clear" w:color="auto" w:fill="FAF6EF"/>
          </w:tcPr>
          <w:p>
            <w:pPr>
              <w:spacing w:after="0"/>
              <w:rPr>
                <w:sz w:val="17"/>
                <w:szCs w:val="17"/>
                <w:color w:val="auto"/>
              </w:rPr>
            </w:pPr>
          </w:p>
        </w:tc>
        <w:tc>
          <w:tcPr>
            <w:tcW w:w="3180" w:type="dxa"/>
            <w:vAlign w:val="bottom"/>
            <w:tcBorders>
              <w:right w:val="single" w:sz="8" w:color="B6B6B6"/>
            </w:tcBorders>
            <w:shd w:val="clear" w:color="auto" w:fill="FAF6EF"/>
          </w:tcPr>
          <w:p>
            <w:pPr>
              <w:spacing w:after="0"/>
              <w:rPr>
                <w:sz w:val="17"/>
                <w:szCs w:val="17"/>
                <w:color w:val="auto"/>
              </w:rPr>
            </w:pPr>
          </w:p>
        </w:tc>
        <w:tc>
          <w:tcPr>
            <w:tcW w:w="3820" w:type="dxa"/>
            <w:vAlign w:val="bottom"/>
            <w:tcBorders>
              <w:right w:val="single" w:sz="8" w:color="B6B6B6"/>
            </w:tcBorders>
            <w:shd w:val="clear" w:color="auto" w:fill="FAF6EF"/>
          </w:tcPr>
          <w:p>
            <w:pPr>
              <w:ind w:left="100"/>
              <w:spacing w:after="0"/>
              <w:rPr>
                <w:sz w:val="20"/>
                <w:szCs w:val="20"/>
                <w:color w:val="auto"/>
              </w:rPr>
            </w:pPr>
            <w:r>
              <w:rPr>
                <w:rFonts w:ascii="Arial" w:cs="Arial" w:eastAsia="Arial" w:hAnsi="Arial"/>
                <w:sz w:val="16"/>
                <w:szCs w:val="16"/>
                <w:color w:val="auto"/>
              </w:rPr>
              <w:t>Guidelines require that any nominee in an</w:t>
            </w:r>
          </w:p>
        </w:tc>
        <w:tc>
          <w:tcPr>
            <w:tcW w:w="1560" w:type="dxa"/>
            <w:vAlign w:val="bottom"/>
            <w:tcBorders>
              <w:right w:val="single" w:sz="8" w:color="B6B6B6"/>
            </w:tcBorders>
            <w:shd w:val="clear" w:color="auto" w:fill="FAF6EF"/>
          </w:tcPr>
          <w:p>
            <w:pPr>
              <w:spacing w:after="0"/>
              <w:rPr>
                <w:sz w:val="17"/>
                <w:szCs w:val="17"/>
                <w:color w:val="auto"/>
              </w:rPr>
            </w:pPr>
          </w:p>
        </w:tc>
        <w:tc>
          <w:tcPr>
            <w:tcW w:w="1580" w:type="dxa"/>
            <w:vAlign w:val="bottom"/>
            <w:shd w:val="clear" w:color="auto" w:fill="FAF6EF"/>
          </w:tcPr>
          <w:p>
            <w:pPr>
              <w:spacing w:after="0"/>
              <w:rPr>
                <w:sz w:val="17"/>
                <w:szCs w:val="17"/>
                <w:color w:val="auto"/>
              </w:rPr>
            </w:pP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B6B6B6"/>
            </w:tcBorders>
            <w:shd w:val="clear" w:color="auto" w:fill="FAF6EF"/>
          </w:tcPr>
          <w:p>
            <w:pPr>
              <w:spacing w:after="0"/>
              <w:rPr>
                <w:sz w:val="15"/>
                <w:szCs w:val="15"/>
                <w:color w:val="auto"/>
              </w:rPr>
            </w:pPr>
          </w:p>
        </w:tc>
        <w:tc>
          <w:tcPr>
            <w:tcW w:w="120" w:type="dxa"/>
            <w:vAlign w:val="bottom"/>
            <w:tcBorders>
              <w:right w:val="single" w:sz="8" w:color="B6B6B6"/>
            </w:tcBorders>
            <w:shd w:val="clear" w:color="auto" w:fill="FAF6EF"/>
          </w:tcPr>
          <w:p>
            <w:pPr>
              <w:spacing w:after="0"/>
              <w:rPr>
                <w:sz w:val="15"/>
                <w:szCs w:val="15"/>
                <w:color w:val="auto"/>
              </w:rPr>
            </w:pPr>
          </w:p>
        </w:tc>
        <w:tc>
          <w:tcPr>
            <w:tcW w:w="3180" w:type="dxa"/>
            <w:vAlign w:val="bottom"/>
            <w:tcBorders>
              <w:right w:val="single" w:sz="8" w:color="B6B6B6"/>
            </w:tcBorders>
            <w:shd w:val="clear" w:color="auto" w:fill="FAF6EF"/>
          </w:tcPr>
          <w:p>
            <w:pPr>
              <w:spacing w:after="0"/>
              <w:rPr>
                <w:sz w:val="15"/>
                <w:szCs w:val="15"/>
                <w:color w:val="auto"/>
              </w:rPr>
            </w:pPr>
          </w:p>
        </w:tc>
        <w:tc>
          <w:tcPr>
            <w:tcW w:w="3820" w:type="dxa"/>
            <w:vAlign w:val="bottom"/>
            <w:tcBorders>
              <w:right w:val="single" w:sz="8" w:color="B6B6B6"/>
            </w:tcBorders>
            <w:shd w:val="clear" w:color="auto" w:fill="FAF6EF"/>
          </w:tcPr>
          <w:p>
            <w:pPr>
              <w:ind w:left="100"/>
              <w:spacing w:after="0" w:line="183" w:lineRule="exact"/>
              <w:rPr>
                <w:sz w:val="20"/>
                <w:szCs w:val="20"/>
                <w:color w:val="auto"/>
              </w:rPr>
            </w:pPr>
            <w:r>
              <w:rPr>
                <w:rFonts w:ascii="Arial" w:cs="Arial" w:eastAsia="Arial" w:hAnsi="Arial"/>
                <w:sz w:val="16"/>
                <w:szCs w:val="16"/>
                <w:color w:val="auto"/>
              </w:rPr>
              <w:t>uncontested election who does not receive a</w:t>
            </w:r>
          </w:p>
        </w:tc>
        <w:tc>
          <w:tcPr>
            <w:tcW w:w="1560" w:type="dxa"/>
            <w:vAlign w:val="bottom"/>
            <w:tcBorders>
              <w:right w:val="single" w:sz="8" w:color="B6B6B6"/>
            </w:tcBorders>
            <w:shd w:val="clear" w:color="auto" w:fill="FAF6EF"/>
          </w:tcPr>
          <w:p>
            <w:pPr>
              <w:spacing w:after="0"/>
              <w:rPr>
                <w:sz w:val="15"/>
                <w:szCs w:val="15"/>
                <w:color w:val="auto"/>
              </w:rPr>
            </w:pPr>
          </w:p>
        </w:tc>
        <w:tc>
          <w:tcPr>
            <w:tcW w:w="1580" w:type="dxa"/>
            <w:vAlign w:val="bottom"/>
            <w:shd w:val="clear" w:color="auto" w:fill="FAF6EF"/>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Borders>
              <w:left w:val="single" w:sz="8" w:color="B6B6B6"/>
            </w:tcBorders>
            <w:shd w:val="clear" w:color="auto" w:fill="FAF6EF"/>
          </w:tcPr>
          <w:p>
            <w:pPr>
              <w:spacing w:after="0"/>
              <w:rPr>
                <w:sz w:val="17"/>
                <w:szCs w:val="17"/>
                <w:color w:val="auto"/>
              </w:rPr>
            </w:pPr>
          </w:p>
        </w:tc>
        <w:tc>
          <w:tcPr>
            <w:tcW w:w="120" w:type="dxa"/>
            <w:vAlign w:val="bottom"/>
            <w:tcBorders>
              <w:right w:val="single" w:sz="8" w:color="B6B6B6"/>
            </w:tcBorders>
            <w:shd w:val="clear" w:color="auto" w:fill="FAF6EF"/>
          </w:tcPr>
          <w:p>
            <w:pPr>
              <w:spacing w:after="0"/>
              <w:rPr>
                <w:sz w:val="17"/>
                <w:szCs w:val="17"/>
                <w:color w:val="auto"/>
              </w:rPr>
            </w:pPr>
          </w:p>
        </w:tc>
        <w:tc>
          <w:tcPr>
            <w:tcW w:w="3180" w:type="dxa"/>
            <w:vAlign w:val="bottom"/>
            <w:tcBorders>
              <w:right w:val="single" w:sz="8" w:color="B6B6B6"/>
            </w:tcBorders>
            <w:shd w:val="clear" w:color="auto" w:fill="FAF6EF"/>
          </w:tcPr>
          <w:p>
            <w:pPr>
              <w:spacing w:after="0"/>
              <w:rPr>
                <w:sz w:val="17"/>
                <w:szCs w:val="17"/>
                <w:color w:val="auto"/>
              </w:rPr>
            </w:pPr>
          </w:p>
        </w:tc>
        <w:tc>
          <w:tcPr>
            <w:tcW w:w="3820" w:type="dxa"/>
            <w:vAlign w:val="bottom"/>
            <w:tcBorders>
              <w:right w:val="single" w:sz="8" w:color="B6B6B6"/>
            </w:tcBorders>
            <w:shd w:val="clear" w:color="auto" w:fill="FAF6EF"/>
          </w:tcPr>
          <w:p>
            <w:pPr>
              <w:ind w:left="100"/>
              <w:spacing w:after="0"/>
              <w:rPr>
                <w:sz w:val="20"/>
                <w:szCs w:val="20"/>
                <w:color w:val="auto"/>
              </w:rPr>
            </w:pPr>
            <w:r>
              <w:rPr>
                <w:rFonts w:ascii="Arial" w:cs="Arial" w:eastAsia="Arial" w:hAnsi="Arial"/>
                <w:sz w:val="16"/>
                <w:szCs w:val="16"/>
                <w:color w:val="auto"/>
              </w:rPr>
              <w:t>majority of the votes cast shall submit an offer of</w:t>
            </w:r>
          </w:p>
        </w:tc>
        <w:tc>
          <w:tcPr>
            <w:tcW w:w="1560" w:type="dxa"/>
            <w:vAlign w:val="bottom"/>
            <w:tcBorders>
              <w:right w:val="single" w:sz="8" w:color="B6B6B6"/>
            </w:tcBorders>
            <w:shd w:val="clear" w:color="auto" w:fill="FAF6EF"/>
          </w:tcPr>
          <w:p>
            <w:pPr>
              <w:spacing w:after="0"/>
              <w:rPr>
                <w:sz w:val="17"/>
                <w:szCs w:val="17"/>
                <w:color w:val="auto"/>
              </w:rPr>
            </w:pPr>
          </w:p>
        </w:tc>
        <w:tc>
          <w:tcPr>
            <w:tcW w:w="1580" w:type="dxa"/>
            <w:vAlign w:val="bottom"/>
            <w:shd w:val="clear" w:color="auto" w:fill="FAF6EF"/>
          </w:tcPr>
          <w:p>
            <w:pPr>
              <w:spacing w:after="0"/>
              <w:rPr>
                <w:sz w:val="17"/>
                <w:szCs w:val="17"/>
                <w:color w:val="auto"/>
              </w:rPr>
            </w:pP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B6B6B6"/>
            </w:tcBorders>
            <w:shd w:val="clear" w:color="auto" w:fill="FAF6EF"/>
          </w:tcPr>
          <w:p>
            <w:pPr>
              <w:spacing w:after="0"/>
              <w:rPr>
                <w:sz w:val="15"/>
                <w:szCs w:val="15"/>
                <w:color w:val="auto"/>
              </w:rPr>
            </w:pPr>
          </w:p>
        </w:tc>
        <w:tc>
          <w:tcPr>
            <w:tcW w:w="120" w:type="dxa"/>
            <w:vAlign w:val="bottom"/>
            <w:tcBorders>
              <w:right w:val="single" w:sz="8" w:color="B6B6B6"/>
            </w:tcBorders>
            <w:shd w:val="clear" w:color="auto" w:fill="FAF6EF"/>
          </w:tcPr>
          <w:p>
            <w:pPr>
              <w:spacing w:after="0"/>
              <w:rPr>
                <w:sz w:val="15"/>
                <w:szCs w:val="15"/>
                <w:color w:val="auto"/>
              </w:rPr>
            </w:pPr>
          </w:p>
        </w:tc>
        <w:tc>
          <w:tcPr>
            <w:tcW w:w="3180" w:type="dxa"/>
            <w:vAlign w:val="bottom"/>
            <w:tcBorders>
              <w:right w:val="single" w:sz="8" w:color="B6B6B6"/>
            </w:tcBorders>
            <w:shd w:val="clear" w:color="auto" w:fill="FAF6EF"/>
          </w:tcPr>
          <w:p>
            <w:pPr>
              <w:spacing w:after="0"/>
              <w:rPr>
                <w:sz w:val="15"/>
                <w:szCs w:val="15"/>
                <w:color w:val="auto"/>
              </w:rPr>
            </w:pPr>
          </w:p>
        </w:tc>
        <w:tc>
          <w:tcPr>
            <w:tcW w:w="3820" w:type="dxa"/>
            <w:vAlign w:val="bottom"/>
            <w:tcBorders>
              <w:right w:val="single" w:sz="8" w:color="B6B6B6"/>
            </w:tcBorders>
            <w:shd w:val="clear" w:color="auto" w:fill="FAF6EF"/>
          </w:tcPr>
          <w:p>
            <w:pPr>
              <w:ind w:left="100"/>
              <w:spacing w:after="0" w:line="183" w:lineRule="exact"/>
              <w:rPr>
                <w:sz w:val="20"/>
                <w:szCs w:val="20"/>
                <w:color w:val="auto"/>
              </w:rPr>
            </w:pPr>
            <w:r>
              <w:rPr>
                <w:rFonts w:ascii="Arial" w:cs="Arial" w:eastAsia="Arial" w:hAnsi="Arial"/>
                <w:sz w:val="16"/>
                <w:szCs w:val="16"/>
                <w:color w:val="auto"/>
              </w:rPr>
              <w:t>resignation to the Nominating and Corporate</w:t>
            </w:r>
          </w:p>
        </w:tc>
        <w:tc>
          <w:tcPr>
            <w:tcW w:w="1560" w:type="dxa"/>
            <w:vAlign w:val="bottom"/>
            <w:tcBorders>
              <w:right w:val="single" w:sz="8" w:color="B6B6B6"/>
            </w:tcBorders>
            <w:shd w:val="clear" w:color="auto" w:fill="FAF6EF"/>
          </w:tcPr>
          <w:p>
            <w:pPr>
              <w:spacing w:after="0"/>
              <w:rPr>
                <w:sz w:val="15"/>
                <w:szCs w:val="15"/>
                <w:color w:val="auto"/>
              </w:rPr>
            </w:pPr>
          </w:p>
        </w:tc>
        <w:tc>
          <w:tcPr>
            <w:tcW w:w="1580" w:type="dxa"/>
            <w:vAlign w:val="bottom"/>
            <w:shd w:val="clear" w:color="auto" w:fill="FAF6EF"/>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80" w:type="dxa"/>
            <w:vAlign w:val="bottom"/>
            <w:tcBorders>
              <w:left w:val="single" w:sz="8" w:color="B6B6B6"/>
            </w:tcBorders>
            <w:shd w:val="clear" w:color="auto" w:fill="FAF6EF"/>
          </w:tcPr>
          <w:p>
            <w:pPr>
              <w:spacing w:after="0"/>
              <w:rPr>
                <w:sz w:val="17"/>
                <w:szCs w:val="17"/>
                <w:color w:val="auto"/>
              </w:rPr>
            </w:pPr>
          </w:p>
        </w:tc>
        <w:tc>
          <w:tcPr>
            <w:tcW w:w="120" w:type="dxa"/>
            <w:vAlign w:val="bottom"/>
            <w:tcBorders>
              <w:right w:val="single" w:sz="8" w:color="B6B6B6"/>
            </w:tcBorders>
            <w:shd w:val="clear" w:color="auto" w:fill="FAF6EF"/>
          </w:tcPr>
          <w:p>
            <w:pPr>
              <w:spacing w:after="0"/>
              <w:rPr>
                <w:sz w:val="17"/>
                <w:szCs w:val="17"/>
                <w:color w:val="auto"/>
              </w:rPr>
            </w:pPr>
          </w:p>
        </w:tc>
        <w:tc>
          <w:tcPr>
            <w:tcW w:w="3180" w:type="dxa"/>
            <w:vAlign w:val="bottom"/>
            <w:tcBorders>
              <w:right w:val="single" w:sz="8" w:color="B6B6B6"/>
            </w:tcBorders>
            <w:shd w:val="clear" w:color="auto" w:fill="FAF6EF"/>
          </w:tcPr>
          <w:p>
            <w:pPr>
              <w:spacing w:after="0"/>
              <w:rPr>
                <w:sz w:val="17"/>
                <w:szCs w:val="17"/>
                <w:color w:val="auto"/>
              </w:rPr>
            </w:pPr>
          </w:p>
        </w:tc>
        <w:tc>
          <w:tcPr>
            <w:tcW w:w="3820" w:type="dxa"/>
            <w:vAlign w:val="bottom"/>
            <w:tcBorders>
              <w:right w:val="single" w:sz="8" w:color="B6B6B6"/>
            </w:tcBorders>
            <w:shd w:val="clear" w:color="auto" w:fill="FAF6EF"/>
          </w:tcPr>
          <w:p>
            <w:pPr>
              <w:ind w:left="100"/>
              <w:spacing w:after="0"/>
              <w:rPr>
                <w:sz w:val="20"/>
                <w:szCs w:val="20"/>
                <w:color w:val="auto"/>
              </w:rPr>
            </w:pPr>
            <w:r>
              <w:rPr>
                <w:rFonts w:ascii="Arial" w:cs="Arial" w:eastAsia="Arial" w:hAnsi="Arial"/>
                <w:sz w:val="16"/>
                <w:szCs w:val="16"/>
                <w:color w:val="auto"/>
              </w:rPr>
              <w:t>Governance Committee.</w:t>
            </w:r>
          </w:p>
        </w:tc>
        <w:tc>
          <w:tcPr>
            <w:tcW w:w="1560" w:type="dxa"/>
            <w:vAlign w:val="bottom"/>
            <w:tcBorders>
              <w:right w:val="single" w:sz="8" w:color="B6B6B6"/>
            </w:tcBorders>
            <w:shd w:val="clear" w:color="auto" w:fill="FAF6EF"/>
          </w:tcPr>
          <w:p>
            <w:pPr>
              <w:spacing w:after="0"/>
              <w:rPr>
                <w:sz w:val="17"/>
                <w:szCs w:val="17"/>
                <w:color w:val="auto"/>
              </w:rPr>
            </w:pPr>
          </w:p>
        </w:tc>
        <w:tc>
          <w:tcPr>
            <w:tcW w:w="1580" w:type="dxa"/>
            <w:vAlign w:val="bottom"/>
            <w:shd w:val="clear" w:color="auto" w:fill="FAF6EF"/>
          </w:tcPr>
          <w:p>
            <w:pPr>
              <w:spacing w:after="0"/>
              <w:rPr>
                <w:sz w:val="17"/>
                <w:szCs w:val="17"/>
                <w:color w:val="auto"/>
              </w:rPr>
            </w:pP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980" w:type="dxa"/>
            <w:vAlign w:val="bottom"/>
            <w:tcBorders>
              <w:left w:val="single" w:sz="8" w:color="B6B6B6"/>
            </w:tcBorders>
            <w:shd w:val="clear" w:color="auto" w:fill="FAF6EF"/>
          </w:tcPr>
          <w:p>
            <w:pPr>
              <w:spacing w:after="0"/>
              <w:rPr>
                <w:sz w:val="9"/>
                <w:szCs w:val="9"/>
                <w:color w:val="auto"/>
              </w:rPr>
            </w:pPr>
          </w:p>
        </w:tc>
        <w:tc>
          <w:tcPr>
            <w:tcW w:w="120" w:type="dxa"/>
            <w:vAlign w:val="bottom"/>
            <w:tcBorders>
              <w:right w:val="single" w:sz="8" w:color="B6B6B6"/>
            </w:tcBorders>
            <w:shd w:val="clear" w:color="auto" w:fill="FAF6EF"/>
          </w:tcPr>
          <w:p>
            <w:pPr>
              <w:spacing w:after="0"/>
              <w:rPr>
                <w:sz w:val="9"/>
                <w:szCs w:val="9"/>
                <w:color w:val="auto"/>
              </w:rPr>
            </w:pPr>
          </w:p>
        </w:tc>
        <w:tc>
          <w:tcPr>
            <w:tcW w:w="3180" w:type="dxa"/>
            <w:vAlign w:val="bottom"/>
            <w:tcBorders>
              <w:right w:val="single" w:sz="8" w:color="B6B6B6"/>
            </w:tcBorders>
            <w:shd w:val="clear" w:color="auto" w:fill="FAF6EF"/>
          </w:tcPr>
          <w:p>
            <w:pPr>
              <w:spacing w:after="0"/>
              <w:rPr>
                <w:sz w:val="9"/>
                <w:szCs w:val="9"/>
                <w:color w:val="auto"/>
              </w:rPr>
            </w:pPr>
          </w:p>
        </w:tc>
        <w:tc>
          <w:tcPr>
            <w:tcW w:w="3820" w:type="dxa"/>
            <w:vAlign w:val="bottom"/>
            <w:tcBorders>
              <w:right w:val="single" w:sz="8" w:color="B6B6B6"/>
            </w:tcBorders>
            <w:shd w:val="clear" w:color="auto" w:fill="FAF6EF"/>
          </w:tcPr>
          <w:p>
            <w:pPr>
              <w:spacing w:after="0"/>
              <w:rPr>
                <w:sz w:val="9"/>
                <w:szCs w:val="9"/>
                <w:color w:val="auto"/>
              </w:rPr>
            </w:pPr>
          </w:p>
        </w:tc>
        <w:tc>
          <w:tcPr>
            <w:tcW w:w="1560" w:type="dxa"/>
            <w:vAlign w:val="bottom"/>
            <w:tcBorders>
              <w:right w:val="single" w:sz="8" w:color="B6B6B6"/>
            </w:tcBorders>
            <w:shd w:val="clear" w:color="auto" w:fill="FAF6EF"/>
          </w:tcPr>
          <w:p>
            <w:pPr>
              <w:spacing w:after="0"/>
              <w:rPr>
                <w:sz w:val="9"/>
                <w:szCs w:val="9"/>
                <w:color w:val="auto"/>
              </w:rPr>
            </w:pPr>
          </w:p>
        </w:tc>
        <w:tc>
          <w:tcPr>
            <w:tcW w:w="1580" w:type="dxa"/>
            <w:vAlign w:val="bottom"/>
            <w:shd w:val="clear" w:color="auto" w:fill="FAF6EF"/>
          </w:tcPr>
          <w:p>
            <w:pPr>
              <w:spacing w:after="0"/>
              <w:rPr>
                <w:sz w:val="9"/>
                <w:szCs w:val="9"/>
                <w:color w:val="auto"/>
              </w:rPr>
            </w:pPr>
          </w:p>
        </w:tc>
        <w:tc>
          <w:tcPr>
            <w:tcW w:w="20" w:type="dxa"/>
            <w:vAlign w:val="bottom"/>
            <w:shd w:val="clear" w:color="auto" w:fill="B6B6B6"/>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980" w:type="dxa"/>
            <w:vAlign w:val="bottom"/>
            <w:tcBorders>
              <w:left w:val="single" w:sz="8" w:color="B6B6B6"/>
            </w:tcBorders>
          </w:tcPr>
          <w:p>
            <w:pPr>
              <w:jc w:val="center"/>
              <w:spacing w:after="0"/>
              <w:rPr>
                <w:sz w:val="20"/>
                <w:szCs w:val="20"/>
                <w:color w:val="auto"/>
              </w:rPr>
            </w:pPr>
            <w:r>
              <w:rPr>
                <w:rFonts w:ascii="Arial" w:cs="Arial" w:eastAsia="Arial" w:hAnsi="Arial"/>
                <w:sz w:val="16"/>
                <w:szCs w:val="16"/>
                <w:b w:val="1"/>
                <w:bCs w:val="1"/>
                <w:color w:val="auto"/>
                <w:w w:val="89"/>
              </w:rPr>
              <w:t>2</w:t>
            </w:r>
          </w:p>
        </w:tc>
        <w:tc>
          <w:tcPr>
            <w:tcW w:w="120" w:type="dxa"/>
            <w:vAlign w:val="bottom"/>
            <w:tcBorders>
              <w:right w:val="single" w:sz="8" w:color="B6B6B6"/>
            </w:tcBorders>
          </w:tcPr>
          <w:p>
            <w:pPr>
              <w:spacing w:after="0"/>
              <w:rPr>
                <w:sz w:val="24"/>
                <w:szCs w:val="24"/>
                <w:color w:val="auto"/>
              </w:rPr>
            </w:pPr>
          </w:p>
        </w:tc>
        <w:tc>
          <w:tcPr>
            <w:tcW w:w="3180" w:type="dxa"/>
            <w:vAlign w:val="bottom"/>
            <w:tcBorders>
              <w:right w:val="single" w:sz="8" w:color="B6B6B6"/>
            </w:tcBorders>
          </w:tcPr>
          <w:p>
            <w:pPr>
              <w:ind w:left="80"/>
              <w:spacing w:after="0"/>
              <w:rPr>
                <w:sz w:val="20"/>
                <w:szCs w:val="20"/>
                <w:color w:val="auto"/>
              </w:rPr>
            </w:pPr>
            <w:r>
              <w:rPr>
                <w:rFonts w:ascii="Arial" w:cs="Arial" w:eastAsia="Arial" w:hAnsi="Arial"/>
                <w:sz w:val="16"/>
                <w:szCs w:val="16"/>
                <w:color w:val="auto"/>
              </w:rPr>
              <w:t>Advisory approval of the compensation of</w:t>
            </w:r>
          </w:p>
        </w:tc>
        <w:tc>
          <w:tcPr>
            <w:tcW w:w="3820" w:type="dxa"/>
            <w:vAlign w:val="bottom"/>
            <w:tcBorders>
              <w:right w:val="single" w:sz="8" w:color="B6B6B6"/>
            </w:tcBorders>
          </w:tcPr>
          <w:p>
            <w:pPr>
              <w:ind w:left="100"/>
              <w:spacing w:after="0"/>
              <w:rPr>
                <w:sz w:val="20"/>
                <w:szCs w:val="20"/>
                <w:color w:val="auto"/>
              </w:rPr>
            </w:pPr>
            <w:r>
              <w:rPr>
                <w:rFonts w:ascii="Arial" w:cs="Arial" w:eastAsia="Arial" w:hAnsi="Arial"/>
                <w:sz w:val="16"/>
                <w:szCs w:val="16"/>
                <w:color w:val="auto"/>
              </w:rPr>
              <w:t>“FOR” votes from the holders of a majority of</w:t>
            </w:r>
          </w:p>
        </w:tc>
        <w:tc>
          <w:tcPr>
            <w:tcW w:w="1560" w:type="dxa"/>
            <w:vAlign w:val="bottom"/>
            <w:tcBorders>
              <w:right w:val="single" w:sz="8" w:color="B6B6B6"/>
            </w:tcBorders>
          </w:tcPr>
          <w:p>
            <w:pPr>
              <w:jc w:val="center"/>
              <w:ind w:right="43"/>
              <w:spacing w:after="0"/>
              <w:rPr>
                <w:sz w:val="20"/>
                <w:szCs w:val="20"/>
                <w:color w:val="auto"/>
              </w:rPr>
            </w:pPr>
            <w:r>
              <w:rPr>
                <w:rFonts w:ascii="Arial" w:cs="Arial" w:eastAsia="Arial" w:hAnsi="Arial"/>
                <w:sz w:val="16"/>
                <w:szCs w:val="16"/>
                <w:color w:val="auto"/>
                <w:w w:val="97"/>
              </w:rPr>
              <w:t>Against</w:t>
            </w: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No effect</w:t>
            </w:r>
          </w:p>
        </w:tc>
        <w:tc>
          <w:tcPr>
            <w:tcW w:w="20" w:type="dxa"/>
            <w:vAlign w:val="bottom"/>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B6B6B6"/>
            </w:tcBorders>
          </w:tcPr>
          <w:p>
            <w:pPr>
              <w:spacing w:after="0"/>
              <w:rPr>
                <w:sz w:val="15"/>
                <w:szCs w:val="15"/>
                <w:color w:val="auto"/>
              </w:rPr>
            </w:pPr>
          </w:p>
        </w:tc>
        <w:tc>
          <w:tcPr>
            <w:tcW w:w="120" w:type="dxa"/>
            <w:vAlign w:val="bottom"/>
            <w:tcBorders>
              <w:right w:val="single" w:sz="8" w:color="B6B6B6"/>
            </w:tcBorders>
          </w:tcPr>
          <w:p>
            <w:pPr>
              <w:spacing w:after="0"/>
              <w:rPr>
                <w:sz w:val="15"/>
                <w:szCs w:val="15"/>
                <w:color w:val="auto"/>
              </w:rPr>
            </w:pPr>
          </w:p>
        </w:tc>
        <w:tc>
          <w:tcPr>
            <w:tcW w:w="3180" w:type="dxa"/>
            <w:vAlign w:val="bottom"/>
            <w:tcBorders>
              <w:right w:val="single" w:sz="8" w:color="B6B6B6"/>
            </w:tcBorders>
          </w:tcPr>
          <w:p>
            <w:pPr>
              <w:ind w:left="80"/>
              <w:spacing w:after="0" w:line="183" w:lineRule="exact"/>
              <w:rPr>
                <w:sz w:val="20"/>
                <w:szCs w:val="20"/>
                <w:color w:val="auto"/>
              </w:rPr>
            </w:pPr>
            <w:r>
              <w:rPr>
                <w:rFonts w:ascii="Arial" w:cs="Arial" w:eastAsia="Arial" w:hAnsi="Arial"/>
                <w:sz w:val="16"/>
                <w:szCs w:val="16"/>
                <w:color w:val="auto"/>
              </w:rPr>
              <w:t>our named executive officers</w:t>
            </w:r>
          </w:p>
        </w:tc>
        <w:tc>
          <w:tcPr>
            <w:tcW w:w="3820" w:type="dxa"/>
            <w:vAlign w:val="bottom"/>
            <w:tcBorders>
              <w:right w:val="single" w:sz="8" w:color="B6B6B6"/>
            </w:tcBorders>
          </w:tcPr>
          <w:p>
            <w:pPr>
              <w:ind w:left="100"/>
              <w:spacing w:after="0" w:line="183" w:lineRule="exact"/>
              <w:rPr>
                <w:sz w:val="20"/>
                <w:szCs w:val="20"/>
                <w:color w:val="auto"/>
              </w:rPr>
            </w:pPr>
            <w:r>
              <w:rPr>
                <w:rFonts w:ascii="Arial" w:cs="Arial" w:eastAsia="Arial" w:hAnsi="Arial"/>
                <w:sz w:val="16"/>
                <w:szCs w:val="16"/>
                <w:color w:val="auto"/>
              </w:rPr>
              <w:t>shares present in person or virtually or represented</w:t>
            </w:r>
          </w:p>
        </w:tc>
        <w:tc>
          <w:tcPr>
            <w:tcW w:w="1560" w:type="dxa"/>
            <w:vAlign w:val="bottom"/>
            <w:tcBorders>
              <w:right w:val="single" w:sz="8" w:color="B6B6B6"/>
            </w:tcBorders>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B6B6B6"/>
            </w:tcBorders>
          </w:tcPr>
          <w:p>
            <w:pPr>
              <w:spacing w:after="0"/>
              <w:rPr>
                <w:sz w:val="15"/>
                <w:szCs w:val="15"/>
                <w:color w:val="auto"/>
              </w:rPr>
            </w:pPr>
          </w:p>
        </w:tc>
        <w:tc>
          <w:tcPr>
            <w:tcW w:w="120" w:type="dxa"/>
            <w:vAlign w:val="bottom"/>
            <w:tcBorders>
              <w:right w:val="single" w:sz="8" w:color="B6B6B6"/>
            </w:tcBorders>
          </w:tcPr>
          <w:p>
            <w:pPr>
              <w:spacing w:after="0"/>
              <w:rPr>
                <w:sz w:val="15"/>
                <w:szCs w:val="15"/>
                <w:color w:val="auto"/>
              </w:rPr>
            </w:pPr>
          </w:p>
        </w:tc>
        <w:tc>
          <w:tcPr>
            <w:tcW w:w="3180" w:type="dxa"/>
            <w:vAlign w:val="bottom"/>
            <w:tcBorders>
              <w:right w:val="single" w:sz="8" w:color="B6B6B6"/>
            </w:tcBorders>
          </w:tcPr>
          <w:p>
            <w:pPr>
              <w:spacing w:after="0"/>
              <w:rPr>
                <w:sz w:val="15"/>
                <w:szCs w:val="15"/>
                <w:color w:val="auto"/>
              </w:rPr>
            </w:pPr>
          </w:p>
        </w:tc>
        <w:tc>
          <w:tcPr>
            <w:tcW w:w="3820" w:type="dxa"/>
            <w:vAlign w:val="bottom"/>
            <w:tcBorders>
              <w:right w:val="single" w:sz="8" w:color="B6B6B6"/>
            </w:tcBorders>
          </w:tcPr>
          <w:p>
            <w:pPr>
              <w:ind w:left="100"/>
              <w:spacing w:after="0" w:line="183" w:lineRule="exact"/>
              <w:rPr>
                <w:sz w:val="20"/>
                <w:szCs w:val="20"/>
                <w:color w:val="auto"/>
              </w:rPr>
            </w:pPr>
            <w:r>
              <w:rPr>
                <w:rFonts w:ascii="Arial" w:cs="Arial" w:eastAsia="Arial" w:hAnsi="Arial"/>
                <w:sz w:val="16"/>
                <w:szCs w:val="16"/>
                <w:color w:val="auto"/>
              </w:rPr>
              <w:t>by proxy and entitled to vote on the matter.</w:t>
            </w:r>
          </w:p>
        </w:tc>
        <w:tc>
          <w:tcPr>
            <w:tcW w:w="1560" w:type="dxa"/>
            <w:vAlign w:val="bottom"/>
            <w:tcBorders>
              <w:right w:val="single" w:sz="8" w:color="B6B6B6"/>
            </w:tcBorders>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Borders>
              <w:left w:val="single" w:sz="8" w:color="B6B6B6"/>
            </w:tcBorders>
          </w:tcPr>
          <w:p>
            <w:pPr>
              <w:spacing w:after="0"/>
              <w:rPr>
                <w:sz w:val="17"/>
                <w:szCs w:val="17"/>
                <w:color w:val="auto"/>
              </w:rPr>
            </w:pPr>
          </w:p>
        </w:tc>
        <w:tc>
          <w:tcPr>
            <w:tcW w:w="120" w:type="dxa"/>
            <w:vAlign w:val="bottom"/>
            <w:tcBorders>
              <w:right w:val="single" w:sz="8" w:color="B6B6B6"/>
            </w:tcBorders>
          </w:tcPr>
          <w:p>
            <w:pPr>
              <w:spacing w:after="0"/>
              <w:rPr>
                <w:sz w:val="17"/>
                <w:szCs w:val="17"/>
                <w:color w:val="auto"/>
              </w:rPr>
            </w:pPr>
          </w:p>
        </w:tc>
        <w:tc>
          <w:tcPr>
            <w:tcW w:w="3180" w:type="dxa"/>
            <w:vAlign w:val="bottom"/>
            <w:tcBorders>
              <w:right w:val="single" w:sz="8" w:color="B6B6B6"/>
            </w:tcBorders>
          </w:tcPr>
          <w:p>
            <w:pPr>
              <w:spacing w:after="0"/>
              <w:rPr>
                <w:sz w:val="17"/>
                <w:szCs w:val="17"/>
                <w:color w:val="auto"/>
              </w:rPr>
            </w:pPr>
          </w:p>
        </w:tc>
        <w:tc>
          <w:tcPr>
            <w:tcW w:w="3820" w:type="dxa"/>
            <w:vAlign w:val="bottom"/>
            <w:tcBorders>
              <w:right w:val="single" w:sz="8" w:color="B6B6B6"/>
            </w:tcBorders>
          </w:tcPr>
          <w:p>
            <w:pPr>
              <w:ind w:left="100"/>
              <w:spacing w:after="0"/>
              <w:rPr>
                <w:sz w:val="20"/>
                <w:szCs w:val="20"/>
                <w:color w:val="auto"/>
              </w:rPr>
            </w:pPr>
            <w:r>
              <w:rPr>
                <w:rFonts w:ascii="Arial" w:cs="Arial" w:eastAsia="Arial" w:hAnsi="Arial"/>
                <w:sz w:val="16"/>
                <w:szCs w:val="16"/>
                <w:color w:val="auto"/>
              </w:rPr>
              <w:t>However, this proposal is advisory and non-binding</w:t>
            </w:r>
          </w:p>
        </w:tc>
        <w:tc>
          <w:tcPr>
            <w:tcW w:w="1560" w:type="dxa"/>
            <w:vAlign w:val="bottom"/>
            <w:tcBorders>
              <w:right w:val="single" w:sz="8" w:color="B6B6B6"/>
            </w:tcBorders>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80" w:type="dxa"/>
            <w:vAlign w:val="bottom"/>
            <w:tcBorders>
              <w:left w:val="single" w:sz="8" w:color="B6B6B6"/>
            </w:tcBorders>
          </w:tcPr>
          <w:p>
            <w:pPr>
              <w:spacing w:after="0"/>
              <w:rPr>
                <w:sz w:val="17"/>
                <w:szCs w:val="17"/>
                <w:color w:val="auto"/>
              </w:rPr>
            </w:pPr>
          </w:p>
        </w:tc>
        <w:tc>
          <w:tcPr>
            <w:tcW w:w="120" w:type="dxa"/>
            <w:vAlign w:val="bottom"/>
            <w:tcBorders>
              <w:right w:val="single" w:sz="8" w:color="B6B6B6"/>
            </w:tcBorders>
          </w:tcPr>
          <w:p>
            <w:pPr>
              <w:spacing w:after="0"/>
              <w:rPr>
                <w:sz w:val="17"/>
                <w:szCs w:val="17"/>
                <w:color w:val="auto"/>
              </w:rPr>
            </w:pPr>
          </w:p>
        </w:tc>
        <w:tc>
          <w:tcPr>
            <w:tcW w:w="3180" w:type="dxa"/>
            <w:vAlign w:val="bottom"/>
            <w:tcBorders>
              <w:right w:val="single" w:sz="8" w:color="B6B6B6"/>
            </w:tcBorders>
          </w:tcPr>
          <w:p>
            <w:pPr>
              <w:spacing w:after="0"/>
              <w:rPr>
                <w:sz w:val="17"/>
                <w:szCs w:val="17"/>
                <w:color w:val="auto"/>
              </w:rPr>
            </w:pPr>
          </w:p>
        </w:tc>
        <w:tc>
          <w:tcPr>
            <w:tcW w:w="3820" w:type="dxa"/>
            <w:vAlign w:val="bottom"/>
            <w:tcBorders>
              <w:right w:val="single" w:sz="8" w:color="B6B6B6"/>
            </w:tcBorders>
          </w:tcPr>
          <w:p>
            <w:pPr>
              <w:ind w:left="100"/>
              <w:spacing w:after="0"/>
              <w:rPr>
                <w:sz w:val="20"/>
                <w:szCs w:val="20"/>
                <w:color w:val="auto"/>
              </w:rPr>
            </w:pPr>
            <w:r>
              <w:rPr>
                <w:rFonts w:ascii="Arial" w:cs="Arial" w:eastAsia="Arial" w:hAnsi="Arial"/>
                <w:sz w:val="16"/>
                <w:szCs w:val="16"/>
                <w:color w:val="auto"/>
              </w:rPr>
              <w:t>upon us.</w:t>
            </w:r>
          </w:p>
        </w:tc>
        <w:tc>
          <w:tcPr>
            <w:tcW w:w="1560" w:type="dxa"/>
            <w:vAlign w:val="bottom"/>
            <w:tcBorders>
              <w:right w:val="single" w:sz="8" w:color="B6B6B6"/>
            </w:tcBorders>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980" w:type="dxa"/>
            <w:vAlign w:val="bottom"/>
            <w:tcBorders>
              <w:left w:val="single" w:sz="8" w:color="B6B6B6"/>
            </w:tcBorders>
          </w:tcPr>
          <w:p>
            <w:pPr>
              <w:spacing w:after="0"/>
              <w:rPr>
                <w:sz w:val="9"/>
                <w:szCs w:val="9"/>
                <w:color w:val="auto"/>
              </w:rPr>
            </w:pPr>
          </w:p>
        </w:tc>
        <w:tc>
          <w:tcPr>
            <w:tcW w:w="120" w:type="dxa"/>
            <w:vAlign w:val="bottom"/>
            <w:tcBorders>
              <w:right w:val="single" w:sz="8" w:color="B6B6B6"/>
            </w:tcBorders>
          </w:tcPr>
          <w:p>
            <w:pPr>
              <w:spacing w:after="0"/>
              <w:rPr>
                <w:sz w:val="9"/>
                <w:szCs w:val="9"/>
                <w:color w:val="auto"/>
              </w:rPr>
            </w:pPr>
          </w:p>
        </w:tc>
        <w:tc>
          <w:tcPr>
            <w:tcW w:w="3180" w:type="dxa"/>
            <w:vAlign w:val="bottom"/>
            <w:tcBorders>
              <w:right w:val="single" w:sz="8" w:color="B6B6B6"/>
            </w:tcBorders>
          </w:tcPr>
          <w:p>
            <w:pPr>
              <w:spacing w:after="0"/>
              <w:rPr>
                <w:sz w:val="9"/>
                <w:szCs w:val="9"/>
                <w:color w:val="auto"/>
              </w:rPr>
            </w:pPr>
          </w:p>
        </w:tc>
        <w:tc>
          <w:tcPr>
            <w:tcW w:w="3820" w:type="dxa"/>
            <w:vAlign w:val="bottom"/>
            <w:tcBorders>
              <w:right w:val="single" w:sz="8" w:color="B6B6B6"/>
            </w:tcBorders>
          </w:tcPr>
          <w:p>
            <w:pPr>
              <w:spacing w:after="0"/>
              <w:rPr>
                <w:sz w:val="9"/>
                <w:szCs w:val="9"/>
                <w:color w:val="auto"/>
              </w:rPr>
            </w:pPr>
          </w:p>
        </w:tc>
        <w:tc>
          <w:tcPr>
            <w:tcW w:w="1560" w:type="dxa"/>
            <w:vAlign w:val="bottom"/>
            <w:tcBorders>
              <w:right w:val="single" w:sz="8" w:color="B6B6B6"/>
            </w:tcBorders>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shd w:val="clear" w:color="auto" w:fill="B6B6B6"/>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980" w:type="dxa"/>
            <w:vAlign w:val="bottom"/>
            <w:tcBorders>
              <w:left w:val="single" w:sz="8" w:color="B6B6B6"/>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89"/>
              </w:rPr>
              <w:t>3</w:t>
            </w:r>
          </w:p>
        </w:tc>
        <w:tc>
          <w:tcPr>
            <w:tcW w:w="120" w:type="dxa"/>
            <w:vAlign w:val="bottom"/>
            <w:tcBorders>
              <w:right w:val="single" w:sz="8" w:color="B6B6B6"/>
            </w:tcBorders>
            <w:shd w:val="clear" w:color="auto" w:fill="FAF6EF"/>
          </w:tcPr>
          <w:p>
            <w:pPr>
              <w:spacing w:after="0"/>
              <w:rPr>
                <w:sz w:val="24"/>
                <w:szCs w:val="24"/>
                <w:color w:val="auto"/>
              </w:rPr>
            </w:pPr>
          </w:p>
        </w:tc>
        <w:tc>
          <w:tcPr>
            <w:tcW w:w="3180" w:type="dxa"/>
            <w:vAlign w:val="bottom"/>
            <w:tcBorders>
              <w:right w:val="single" w:sz="8" w:color="B6B6B6"/>
            </w:tcBorders>
            <w:shd w:val="clear" w:color="auto" w:fill="FAF6EF"/>
          </w:tcPr>
          <w:p>
            <w:pPr>
              <w:ind w:left="80"/>
              <w:spacing w:after="0"/>
              <w:rPr>
                <w:sz w:val="20"/>
                <w:szCs w:val="20"/>
                <w:color w:val="auto"/>
              </w:rPr>
            </w:pPr>
            <w:r>
              <w:rPr>
                <w:rFonts w:ascii="Arial" w:cs="Arial" w:eastAsia="Arial" w:hAnsi="Arial"/>
                <w:sz w:val="16"/>
                <w:szCs w:val="16"/>
                <w:color w:val="auto"/>
              </w:rPr>
              <w:t>Advisory vote on the frequency of</w:t>
            </w:r>
          </w:p>
        </w:tc>
        <w:tc>
          <w:tcPr>
            <w:tcW w:w="3820" w:type="dxa"/>
            <w:vAlign w:val="bottom"/>
            <w:tcBorders>
              <w:right w:val="single" w:sz="8" w:color="B6B6B6"/>
            </w:tcBorders>
            <w:shd w:val="clear" w:color="auto" w:fill="FAF6EF"/>
          </w:tcPr>
          <w:p>
            <w:pPr>
              <w:ind w:left="100"/>
              <w:spacing w:after="0"/>
              <w:rPr>
                <w:sz w:val="20"/>
                <w:szCs w:val="20"/>
                <w:color w:val="auto"/>
              </w:rPr>
            </w:pPr>
            <w:r>
              <w:rPr>
                <w:rFonts w:ascii="Arial" w:cs="Arial" w:eastAsia="Arial" w:hAnsi="Arial"/>
                <w:sz w:val="16"/>
                <w:szCs w:val="16"/>
                <w:color w:val="auto"/>
              </w:rPr>
              <w:t>The frequency receiving votes from the holders of a</w:t>
            </w:r>
          </w:p>
        </w:tc>
        <w:tc>
          <w:tcPr>
            <w:tcW w:w="1560" w:type="dxa"/>
            <w:vAlign w:val="bottom"/>
            <w:tcBorders>
              <w:right w:val="single" w:sz="8" w:color="B6B6B6"/>
            </w:tcBorders>
            <w:shd w:val="clear" w:color="auto" w:fill="FAF6EF"/>
          </w:tcPr>
          <w:p>
            <w:pPr>
              <w:jc w:val="center"/>
              <w:ind w:right="43"/>
              <w:spacing w:after="0"/>
              <w:rPr>
                <w:sz w:val="20"/>
                <w:szCs w:val="20"/>
                <w:color w:val="auto"/>
              </w:rPr>
            </w:pPr>
            <w:r>
              <w:rPr>
                <w:rFonts w:ascii="Arial" w:cs="Arial" w:eastAsia="Arial" w:hAnsi="Arial"/>
                <w:sz w:val="16"/>
                <w:szCs w:val="16"/>
                <w:color w:val="auto"/>
                <w:w w:val="99"/>
              </w:rPr>
              <w:t>Against each of the</w:t>
            </w:r>
          </w:p>
        </w:tc>
        <w:tc>
          <w:tcPr>
            <w:tcW w:w="158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6"/>
              </w:rPr>
              <w:t>No effect</w:t>
            </w:r>
          </w:p>
        </w:tc>
        <w:tc>
          <w:tcPr>
            <w:tcW w:w="20" w:type="dxa"/>
            <w:vAlign w:val="bottom"/>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B6B6B6"/>
            </w:tcBorders>
            <w:shd w:val="clear" w:color="auto" w:fill="FAF6EF"/>
          </w:tcPr>
          <w:p>
            <w:pPr>
              <w:spacing w:after="0"/>
              <w:rPr>
                <w:sz w:val="15"/>
                <w:szCs w:val="15"/>
                <w:color w:val="auto"/>
              </w:rPr>
            </w:pPr>
          </w:p>
        </w:tc>
        <w:tc>
          <w:tcPr>
            <w:tcW w:w="120" w:type="dxa"/>
            <w:vAlign w:val="bottom"/>
            <w:tcBorders>
              <w:right w:val="single" w:sz="8" w:color="B6B6B6"/>
            </w:tcBorders>
            <w:shd w:val="clear" w:color="auto" w:fill="FAF6EF"/>
          </w:tcPr>
          <w:p>
            <w:pPr>
              <w:spacing w:after="0"/>
              <w:rPr>
                <w:sz w:val="15"/>
                <w:szCs w:val="15"/>
                <w:color w:val="auto"/>
              </w:rPr>
            </w:pPr>
          </w:p>
        </w:tc>
        <w:tc>
          <w:tcPr>
            <w:tcW w:w="3180" w:type="dxa"/>
            <w:vAlign w:val="bottom"/>
            <w:tcBorders>
              <w:right w:val="single" w:sz="8" w:color="B6B6B6"/>
            </w:tcBorders>
            <w:shd w:val="clear" w:color="auto" w:fill="FAF6EF"/>
          </w:tcPr>
          <w:p>
            <w:pPr>
              <w:ind w:left="80"/>
              <w:spacing w:after="0" w:line="183" w:lineRule="exact"/>
              <w:rPr>
                <w:sz w:val="20"/>
                <w:szCs w:val="20"/>
                <w:color w:val="auto"/>
              </w:rPr>
            </w:pPr>
            <w:r>
              <w:rPr>
                <w:rFonts w:ascii="Arial" w:cs="Arial" w:eastAsia="Arial" w:hAnsi="Arial"/>
                <w:sz w:val="16"/>
                <w:szCs w:val="16"/>
                <w:color w:val="auto"/>
              </w:rPr>
              <w:t>stockholder advisory votes on executive</w:t>
            </w:r>
          </w:p>
        </w:tc>
        <w:tc>
          <w:tcPr>
            <w:tcW w:w="3820" w:type="dxa"/>
            <w:vAlign w:val="bottom"/>
            <w:tcBorders>
              <w:right w:val="single" w:sz="8" w:color="B6B6B6"/>
            </w:tcBorders>
            <w:shd w:val="clear" w:color="auto" w:fill="FAF6EF"/>
          </w:tcPr>
          <w:p>
            <w:pPr>
              <w:ind w:left="100"/>
              <w:spacing w:after="0" w:line="183" w:lineRule="exact"/>
              <w:rPr>
                <w:sz w:val="20"/>
                <w:szCs w:val="20"/>
                <w:color w:val="auto"/>
              </w:rPr>
            </w:pPr>
            <w:r>
              <w:rPr>
                <w:rFonts w:ascii="Arial" w:cs="Arial" w:eastAsia="Arial" w:hAnsi="Arial"/>
                <w:sz w:val="16"/>
                <w:szCs w:val="16"/>
                <w:color w:val="auto"/>
              </w:rPr>
              <w:t>majority of shares present in person or virtually or</w:t>
            </w:r>
          </w:p>
        </w:tc>
        <w:tc>
          <w:tcPr>
            <w:tcW w:w="1560" w:type="dxa"/>
            <w:vAlign w:val="bottom"/>
            <w:tcBorders>
              <w:right w:val="single" w:sz="8" w:color="B6B6B6"/>
            </w:tcBorders>
            <w:shd w:val="clear" w:color="auto" w:fill="FAF6EF"/>
          </w:tcPr>
          <w:p>
            <w:pPr>
              <w:jc w:val="center"/>
              <w:ind w:right="43"/>
              <w:spacing w:after="0" w:line="183" w:lineRule="exact"/>
              <w:rPr>
                <w:sz w:val="20"/>
                <w:szCs w:val="20"/>
                <w:color w:val="auto"/>
              </w:rPr>
            </w:pPr>
            <w:r>
              <w:rPr>
                <w:rFonts w:ascii="Arial" w:cs="Arial" w:eastAsia="Arial" w:hAnsi="Arial"/>
                <w:sz w:val="16"/>
                <w:szCs w:val="16"/>
                <w:color w:val="auto"/>
                <w:w w:val="98"/>
              </w:rPr>
              <w:t>proposed voting</w:t>
            </w:r>
          </w:p>
        </w:tc>
        <w:tc>
          <w:tcPr>
            <w:tcW w:w="1580" w:type="dxa"/>
            <w:vAlign w:val="bottom"/>
            <w:shd w:val="clear" w:color="auto" w:fill="FAF6EF"/>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B6B6B6"/>
            </w:tcBorders>
            <w:shd w:val="clear" w:color="auto" w:fill="FAF6EF"/>
          </w:tcPr>
          <w:p>
            <w:pPr>
              <w:spacing w:after="0"/>
              <w:rPr>
                <w:sz w:val="15"/>
                <w:szCs w:val="15"/>
                <w:color w:val="auto"/>
              </w:rPr>
            </w:pPr>
          </w:p>
        </w:tc>
        <w:tc>
          <w:tcPr>
            <w:tcW w:w="120" w:type="dxa"/>
            <w:vAlign w:val="bottom"/>
            <w:tcBorders>
              <w:right w:val="single" w:sz="8" w:color="B6B6B6"/>
            </w:tcBorders>
            <w:shd w:val="clear" w:color="auto" w:fill="FAF6EF"/>
          </w:tcPr>
          <w:p>
            <w:pPr>
              <w:spacing w:after="0"/>
              <w:rPr>
                <w:sz w:val="15"/>
                <w:szCs w:val="15"/>
                <w:color w:val="auto"/>
              </w:rPr>
            </w:pPr>
          </w:p>
        </w:tc>
        <w:tc>
          <w:tcPr>
            <w:tcW w:w="3180" w:type="dxa"/>
            <w:vAlign w:val="bottom"/>
            <w:tcBorders>
              <w:right w:val="single" w:sz="8" w:color="B6B6B6"/>
            </w:tcBorders>
            <w:shd w:val="clear" w:color="auto" w:fill="FAF6EF"/>
          </w:tcPr>
          <w:p>
            <w:pPr>
              <w:ind w:left="80"/>
              <w:spacing w:after="0" w:line="183" w:lineRule="exact"/>
              <w:rPr>
                <w:sz w:val="20"/>
                <w:szCs w:val="20"/>
                <w:color w:val="auto"/>
              </w:rPr>
            </w:pPr>
            <w:r>
              <w:rPr>
                <w:rFonts w:ascii="Arial" w:cs="Arial" w:eastAsia="Arial" w:hAnsi="Arial"/>
                <w:sz w:val="16"/>
                <w:szCs w:val="16"/>
                <w:color w:val="auto"/>
              </w:rPr>
              <w:t>compensation</w:t>
            </w:r>
          </w:p>
        </w:tc>
        <w:tc>
          <w:tcPr>
            <w:tcW w:w="3820" w:type="dxa"/>
            <w:vAlign w:val="bottom"/>
            <w:tcBorders>
              <w:right w:val="single" w:sz="8" w:color="B6B6B6"/>
            </w:tcBorders>
            <w:shd w:val="clear" w:color="auto" w:fill="FAF6EF"/>
          </w:tcPr>
          <w:p>
            <w:pPr>
              <w:ind w:left="100"/>
              <w:spacing w:after="0" w:line="183" w:lineRule="exact"/>
              <w:rPr>
                <w:sz w:val="20"/>
                <w:szCs w:val="20"/>
                <w:color w:val="auto"/>
              </w:rPr>
            </w:pPr>
            <w:r>
              <w:rPr>
                <w:rFonts w:ascii="Arial" w:cs="Arial" w:eastAsia="Arial" w:hAnsi="Arial"/>
                <w:sz w:val="16"/>
                <w:szCs w:val="16"/>
                <w:color w:val="auto"/>
              </w:rPr>
              <w:t>represented by proxy and entitled to vote on the</w:t>
            </w:r>
          </w:p>
        </w:tc>
        <w:tc>
          <w:tcPr>
            <w:tcW w:w="1560" w:type="dxa"/>
            <w:vAlign w:val="bottom"/>
            <w:tcBorders>
              <w:right w:val="single" w:sz="8" w:color="B6B6B6"/>
            </w:tcBorders>
            <w:shd w:val="clear" w:color="auto" w:fill="FAF6EF"/>
          </w:tcPr>
          <w:p>
            <w:pPr>
              <w:jc w:val="center"/>
              <w:ind w:right="43"/>
              <w:spacing w:after="0" w:line="183" w:lineRule="exact"/>
              <w:rPr>
                <w:sz w:val="20"/>
                <w:szCs w:val="20"/>
                <w:color w:val="auto"/>
              </w:rPr>
            </w:pPr>
            <w:r>
              <w:rPr>
                <w:rFonts w:ascii="Arial" w:cs="Arial" w:eastAsia="Arial" w:hAnsi="Arial"/>
                <w:sz w:val="16"/>
                <w:szCs w:val="16"/>
                <w:color w:val="auto"/>
                <w:w w:val="96"/>
              </w:rPr>
              <w:t>frequencies</w:t>
            </w:r>
          </w:p>
        </w:tc>
        <w:tc>
          <w:tcPr>
            <w:tcW w:w="1580" w:type="dxa"/>
            <w:vAlign w:val="bottom"/>
            <w:shd w:val="clear" w:color="auto" w:fill="FAF6EF"/>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Borders>
              <w:left w:val="single" w:sz="8" w:color="B6B6B6"/>
            </w:tcBorders>
            <w:shd w:val="clear" w:color="auto" w:fill="FAF6EF"/>
          </w:tcPr>
          <w:p>
            <w:pPr>
              <w:spacing w:after="0"/>
              <w:rPr>
                <w:sz w:val="17"/>
                <w:szCs w:val="17"/>
                <w:color w:val="auto"/>
              </w:rPr>
            </w:pPr>
          </w:p>
        </w:tc>
        <w:tc>
          <w:tcPr>
            <w:tcW w:w="120" w:type="dxa"/>
            <w:vAlign w:val="bottom"/>
            <w:tcBorders>
              <w:right w:val="single" w:sz="8" w:color="B6B6B6"/>
            </w:tcBorders>
            <w:shd w:val="clear" w:color="auto" w:fill="FAF6EF"/>
          </w:tcPr>
          <w:p>
            <w:pPr>
              <w:spacing w:after="0"/>
              <w:rPr>
                <w:sz w:val="17"/>
                <w:szCs w:val="17"/>
                <w:color w:val="auto"/>
              </w:rPr>
            </w:pPr>
          </w:p>
        </w:tc>
        <w:tc>
          <w:tcPr>
            <w:tcW w:w="3180" w:type="dxa"/>
            <w:vAlign w:val="bottom"/>
            <w:tcBorders>
              <w:right w:val="single" w:sz="8" w:color="B6B6B6"/>
            </w:tcBorders>
            <w:shd w:val="clear" w:color="auto" w:fill="FAF6EF"/>
          </w:tcPr>
          <w:p>
            <w:pPr>
              <w:spacing w:after="0"/>
              <w:rPr>
                <w:sz w:val="17"/>
                <w:szCs w:val="17"/>
                <w:color w:val="auto"/>
              </w:rPr>
            </w:pPr>
          </w:p>
        </w:tc>
        <w:tc>
          <w:tcPr>
            <w:tcW w:w="3820" w:type="dxa"/>
            <w:vAlign w:val="bottom"/>
            <w:tcBorders>
              <w:right w:val="single" w:sz="8" w:color="B6B6B6"/>
            </w:tcBorders>
            <w:shd w:val="clear" w:color="auto" w:fill="FAF6EF"/>
          </w:tcPr>
          <w:p>
            <w:pPr>
              <w:ind w:left="100"/>
              <w:spacing w:after="0"/>
              <w:rPr>
                <w:sz w:val="20"/>
                <w:szCs w:val="20"/>
                <w:color w:val="auto"/>
              </w:rPr>
            </w:pPr>
            <w:r>
              <w:rPr>
                <w:rFonts w:ascii="Arial" w:cs="Arial" w:eastAsia="Arial" w:hAnsi="Arial"/>
                <w:sz w:val="16"/>
                <w:szCs w:val="16"/>
                <w:color w:val="auto"/>
              </w:rPr>
              <w:t>matter. However, this proposal is advisory and non-</w:t>
            </w:r>
          </w:p>
        </w:tc>
        <w:tc>
          <w:tcPr>
            <w:tcW w:w="1560" w:type="dxa"/>
            <w:vAlign w:val="bottom"/>
            <w:tcBorders>
              <w:right w:val="single" w:sz="8" w:color="B6B6B6"/>
            </w:tcBorders>
            <w:shd w:val="clear" w:color="auto" w:fill="FAF6EF"/>
          </w:tcPr>
          <w:p>
            <w:pPr>
              <w:spacing w:after="0"/>
              <w:rPr>
                <w:sz w:val="17"/>
                <w:szCs w:val="17"/>
                <w:color w:val="auto"/>
              </w:rPr>
            </w:pPr>
          </w:p>
        </w:tc>
        <w:tc>
          <w:tcPr>
            <w:tcW w:w="1580" w:type="dxa"/>
            <w:vAlign w:val="bottom"/>
            <w:shd w:val="clear" w:color="auto" w:fill="FAF6EF"/>
          </w:tcPr>
          <w:p>
            <w:pPr>
              <w:spacing w:after="0"/>
              <w:rPr>
                <w:sz w:val="17"/>
                <w:szCs w:val="17"/>
                <w:color w:val="auto"/>
              </w:rPr>
            </w:pP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80" w:type="dxa"/>
            <w:vAlign w:val="bottom"/>
            <w:tcBorders>
              <w:left w:val="single" w:sz="8" w:color="B6B6B6"/>
            </w:tcBorders>
            <w:shd w:val="clear" w:color="auto" w:fill="FAF6EF"/>
          </w:tcPr>
          <w:p>
            <w:pPr>
              <w:spacing w:after="0"/>
              <w:rPr>
                <w:sz w:val="17"/>
                <w:szCs w:val="17"/>
                <w:color w:val="auto"/>
              </w:rPr>
            </w:pPr>
          </w:p>
        </w:tc>
        <w:tc>
          <w:tcPr>
            <w:tcW w:w="120" w:type="dxa"/>
            <w:vAlign w:val="bottom"/>
            <w:tcBorders>
              <w:right w:val="single" w:sz="8" w:color="B6B6B6"/>
            </w:tcBorders>
            <w:shd w:val="clear" w:color="auto" w:fill="FAF6EF"/>
          </w:tcPr>
          <w:p>
            <w:pPr>
              <w:spacing w:after="0"/>
              <w:rPr>
                <w:sz w:val="17"/>
                <w:szCs w:val="17"/>
                <w:color w:val="auto"/>
              </w:rPr>
            </w:pPr>
          </w:p>
        </w:tc>
        <w:tc>
          <w:tcPr>
            <w:tcW w:w="3180" w:type="dxa"/>
            <w:vAlign w:val="bottom"/>
            <w:tcBorders>
              <w:right w:val="single" w:sz="8" w:color="B6B6B6"/>
            </w:tcBorders>
            <w:shd w:val="clear" w:color="auto" w:fill="FAF6EF"/>
          </w:tcPr>
          <w:p>
            <w:pPr>
              <w:spacing w:after="0"/>
              <w:rPr>
                <w:sz w:val="17"/>
                <w:szCs w:val="17"/>
                <w:color w:val="auto"/>
              </w:rPr>
            </w:pPr>
          </w:p>
        </w:tc>
        <w:tc>
          <w:tcPr>
            <w:tcW w:w="3820" w:type="dxa"/>
            <w:vAlign w:val="bottom"/>
            <w:tcBorders>
              <w:right w:val="single" w:sz="8" w:color="B6B6B6"/>
            </w:tcBorders>
            <w:shd w:val="clear" w:color="auto" w:fill="FAF6EF"/>
          </w:tcPr>
          <w:p>
            <w:pPr>
              <w:ind w:left="100"/>
              <w:spacing w:after="0"/>
              <w:rPr>
                <w:sz w:val="20"/>
                <w:szCs w:val="20"/>
                <w:color w:val="auto"/>
              </w:rPr>
            </w:pPr>
            <w:r>
              <w:rPr>
                <w:rFonts w:ascii="Arial" w:cs="Arial" w:eastAsia="Arial" w:hAnsi="Arial"/>
                <w:sz w:val="16"/>
                <w:szCs w:val="16"/>
                <w:color w:val="auto"/>
              </w:rPr>
              <w:t>binding upon us.</w:t>
            </w:r>
          </w:p>
        </w:tc>
        <w:tc>
          <w:tcPr>
            <w:tcW w:w="1560" w:type="dxa"/>
            <w:vAlign w:val="bottom"/>
            <w:tcBorders>
              <w:right w:val="single" w:sz="8" w:color="B6B6B6"/>
            </w:tcBorders>
            <w:shd w:val="clear" w:color="auto" w:fill="FAF6EF"/>
          </w:tcPr>
          <w:p>
            <w:pPr>
              <w:spacing w:after="0"/>
              <w:rPr>
                <w:sz w:val="17"/>
                <w:szCs w:val="17"/>
                <w:color w:val="auto"/>
              </w:rPr>
            </w:pPr>
          </w:p>
        </w:tc>
        <w:tc>
          <w:tcPr>
            <w:tcW w:w="1580" w:type="dxa"/>
            <w:vAlign w:val="bottom"/>
            <w:shd w:val="clear" w:color="auto" w:fill="FAF6EF"/>
          </w:tcPr>
          <w:p>
            <w:pPr>
              <w:spacing w:after="0"/>
              <w:rPr>
                <w:sz w:val="17"/>
                <w:szCs w:val="17"/>
                <w:color w:val="auto"/>
              </w:rPr>
            </w:pP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980" w:type="dxa"/>
            <w:vAlign w:val="bottom"/>
            <w:tcBorders>
              <w:left w:val="single" w:sz="8" w:color="B6B6B6"/>
            </w:tcBorders>
            <w:shd w:val="clear" w:color="auto" w:fill="FAF6EF"/>
          </w:tcPr>
          <w:p>
            <w:pPr>
              <w:spacing w:after="0"/>
              <w:rPr>
                <w:sz w:val="9"/>
                <w:szCs w:val="9"/>
                <w:color w:val="auto"/>
              </w:rPr>
            </w:pPr>
          </w:p>
        </w:tc>
        <w:tc>
          <w:tcPr>
            <w:tcW w:w="120" w:type="dxa"/>
            <w:vAlign w:val="bottom"/>
            <w:tcBorders>
              <w:right w:val="single" w:sz="8" w:color="B6B6B6"/>
            </w:tcBorders>
            <w:shd w:val="clear" w:color="auto" w:fill="FAF6EF"/>
          </w:tcPr>
          <w:p>
            <w:pPr>
              <w:spacing w:after="0"/>
              <w:rPr>
                <w:sz w:val="9"/>
                <w:szCs w:val="9"/>
                <w:color w:val="auto"/>
              </w:rPr>
            </w:pPr>
          </w:p>
        </w:tc>
        <w:tc>
          <w:tcPr>
            <w:tcW w:w="3180" w:type="dxa"/>
            <w:vAlign w:val="bottom"/>
            <w:tcBorders>
              <w:right w:val="single" w:sz="8" w:color="B6B6B6"/>
            </w:tcBorders>
            <w:shd w:val="clear" w:color="auto" w:fill="FAF6EF"/>
          </w:tcPr>
          <w:p>
            <w:pPr>
              <w:spacing w:after="0"/>
              <w:rPr>
                <w:sz w:val="9"/>
                <w:szCs w:val="9"/>
                <w:color w:val="auto"/>
              </w:rPr>
            </w:pPr>
          </w:p>
        </w:tc>
        <w:tc>
          <w:tcPr>
            <w:tcW w:w="3820" w:type="dxa"/>
            <w:vAlign w:val="bottom"/>
            <w:tcBorders>
              <w:right w:val="single" w:sz="8" w:color="B6B6B6"/>
            </w:tcBorders>
            <w:shd w:val="clear" w:color="auto" w:fill="FAF6EF"/>
          </w:tcPr>
          <w:p>
            <w:pPr>
              <w:spacing w:after="0"/>
              <w:rPr>
                <w:sz w:val="9"/>
                <w:szCs w:val="9"/>
                <w:color w:val="auto"/>
              </w:rPr>
            </w:pPr>
          </w:p>
        </w:tc>
        <w:tc>
          <w:tcPr>
            <w:tcW w:w="1560" w:type="dxa"/>
            <w:vAlign w:val="bottom"/>
            <w:tcBorders>
              <w:right w:val="single" w:sz="8" w:color="B6B6B6"/>
            </w:tcBorders>
            <w:shd w:val="clear" w:color="auto" w:fill="FAF6EF"/>
          </w:tcPr>
          <w:p>
            <w:pPr>
              <w:spacing w:after="0"/>
              <w:rPr>
                <w:sz w:val="9"/>
                <w:szCs w:val="9"/>
                <w:color w:val="auto"/>
              </w:rPr>
            </w:pPr>
          </w:p>
        </w:tc>
        <w:tc>
          <w:tcPr>
            <w:tcW w:w="1580" w:type="dxa"/>
            <w:vAlign w:val="bottom"/>
            <w:shd w:val="clear" w:color="auto" w:fill="FAF6EF"/>
          </w:tcPr>
          <w:p>
            <w:pPr>
              <w:spacing w:after="0"/>
              <w:rPr>
                <w:sz w:val="9"/>
                <w:szCs w:val="9"/>
                <w:color w:val="auto"/>
              </w:rPr>
            </w:pPr>
          </w:p>
        </w:tc>
        <w:tc>
          <w:tcPr>
            <w:tcW w:w="20" w:type="dxa"/>
            <w:vAlign w:val="bottom"/>
            <w:shd w:val="clear" w:color="auto" w:fill="B6B6B6"/>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980" w:type="dxa"/>
            <w:vAlign w:val="bottom"/>
            <w:tcBorders>
              <w:left w:val="single" w:sz="8" w:color="B6B6B6"/>
            </w:tcBorders>
          </w:tcPr>
          <w:p>
            <w:pPr>
              <w:jc w:val="center"/>
              <w:spacing w:after="0"/>
              <w:rPr>
                <w:sz w:val="20"/>
                <w:szCs w:val="20"/>
                <w:color w:val="auto"/>
              </w:rPr>
            </w:pPr>
            <w:r>
              <w:rPr>
                <w:rFonts w:ascii="Arial" w:cs="Arial" w:eastAsia="Arial" w:hAnsi="Arial"/>
                <w:sz w:val="16"/>
                <w:szCs w:val="16"/>
                <w:b w:val="1"/>
                <w:bCs w:val="1"/>
                <w:color w:val="auto"/>
                <w:w w:val="89"/>
              </w:rPr>
              <w:t>4</w:t>
            </w:r>
          </w:p>
        </w:tc>
        <w:tc>
          <w:tcPr>
            <w:tcW w:w="120" w:type="dxa"/>
            <w:vAlign w:val="bottom"/>
            <w:tcBorders>
              <w:right w:val="single" w:sz="8" w:color="B6B6B6"/>
            </w:tcBorders>
          </w:tcPr>
          <w:p>
            <w:pPr>
              <w:spacing w:after="0"/>
              <w:rPr>
                <w:sz w:val="22"/>
                <w:szCs w:val="22"/>
                <w:color w:val="auto"/>
              </w:rPr>
            </w:pPr>
          </w:p>
        </w:tc>
        <w:tc>
          <w:tcPr>
            <w:tcW w:w="3180" w:type="dxa"/>
            <w:vAlign w:val="bottom"/>
            <w:tcBorders>
              <w:right w:val="single" w:sz="8" w:color="B6B6B6"/>
            </w:tcBorders>
          </w:tcPr>
          <w:p>
            <w:pPr>
              <w:ind w:left="80"/>
              <w:spacing w:after="0"/>
              <w:rPr>
                <w:sz w:val="20"/>
                <w:szCs w:val="20"/>
                <w:color w:val="auto"/>
              </w:rPr>
            </w:pPr>
            <w:r>
              <w:rPr>
                <w:rFonts w:ascii="Arial" w:cs="Arial" w:eastAsia="Arial" w:hAnsi="Arial"/>
                <w:sz w:val="16"/>
                <w:szCs w:val="16"/>
                <w:color w:val="auto"/>
              </w:rPr>
              <w:t>Ratification of the selection of Deloitte &amp;</w:t>
            </w:r>
          </w:p>
        </w:tc>
        <w:tc>
          <w:tcPr>
            <w:tcW w:w="3820" w:type="dxa"/>
            <w:vAlign w:val="bottom"/>
            <w:tcBorders>
              <w:right w:val="single" w:sz="8" w:color="B6B6B6"/>
            </w:tcBorders>
          </w:tcPr>
          <w:p>
            <w:pPr>
              <w:ind w:left="120"/>
              <w:spacing w:after="0"/>
              <w:rPr>
                <w:sz w:val="20"/>
                <w:szCs w:val="20"/>
                <w:color w:val="auto"/>
              </w:rPr>
            </w:pPr>
            <w:r>
              <w:rPr>
                <w:rFonts w:ascii="Arial" w:cs="Arial" w:eastAsia="Arial" w:hAnsi="Arial"/>
                <w:sz w:val="16"/>
                <w:szCs w:val="16"/>
                <w:color w:val="auto"/>
              </w:rPr>
              <w:t>“FOR” votes from the holders of a majority of</w:t>
            </w:r>
          </w:p>
        </w:tc>
        <w:tc>
          <w:tcPr>
            <w:tcW w:w="1560" w:type="dxa"/>
            <w:vAlign w:val="bottom"/>
            <w:tcBorders>
              <w:right w:val="single" w:sz="8" w:color="B6B6B6"/>
            </w:tcBorders>
          </w:tcPr>
          <w:p>
            <w:pPr>
              <w:jc w:val="center"/>
              <w:ind w:right="43"/>
              <w:spacing w:after="0"/>
              <w:rPr>
                <w:sz w:val="20"/>
                <w:szCs w:val="20"/>
                <w:color w:val="auto"/>
              </w:rPr>
            </w:pPr>
            <w:r>
              <w:rPr>
                <w:rFonts w:ascii="Arial" w:cs="Arial" w:eastAsia="Arial" w:hAnsi="Arial"/>
                <w:sz w:val="16"/>
                <w:szCs w:val="16"/>
                <w:color w:val="auto"/>
                <w:w w:val="97"/>
              </w:rPr>
              <w:t>Against</w:t>
            </w: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Not applicable</w:t>
            </w:r>
          </w:p>
        </w:tc>
        <w:tc>
          <w:tcPr>
            <w:tcW w:w="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980" w:type="dxa"/>
            <w:vAlign w:val="bottom"/>
            <w:tcBorders>
              <w:left w:val="single" w:sz="8" w:color="B6B6B6"/>
            </w:tcBorders>
          </w:tcPr>
          <w:p>
            <w:pPr>
              <w:spacing w:after="0"/>
              <w:rPr>
                <w:sz w:val="12"/>
                <w:szCs w:val="12"/>
                <w:color w:val="auto"/>
              </w:rPr>
            </w:pPr>
          </w:p>
        </w:tc>
        <w:tc>
          <w:tcPr>
            <w:tcW w:w="120" w:type="dxa"/>
            <w:vAlign w:val="bottom"/>
            <w:tcBorders>
              <w:right w:val="single" w:sz="8" w:color="B6B6B6"/>
            </w:tcBorders>
          </w:tcPr>
          <w:p>
            <w:pPr>
              <w:spacing w:after="0"/>
              <w:rPr>
                <w:sz w:val="12"/>
                <w:szCs w:val="12"/>
                <w:color w:val="auto"/>
              </w:rPr>
            </w:pPr>
          </w:p>
        </w:tc>
        <w:tc>
          <w:tcPr>
            <w:tcW w:w="3180" w:type="dxa"/>
            <w:vAlign w:val="bottom"/>
            <w:tcBorders>
              <w:right w:val="single" w:sz="8" w:color="B6B6B6"/>
            </w:tcBorders>
            <w:vMerge w:val="restart"/>
          </w:tcPr>
          <w:p>
            <w:pPr>
              <w:ind w:left="80"/>
              <w:spacing w:after="0"/>
              <w:rPr>
                <w:sz w:val="20"/>
                <w:szCs w:val="20"/>
                <w:color w:val="auto"/>
              </w:rPr>
            </w:pPr>
            <w:r>
              <w:rPr>
                <w:rFonts w:ascii="Arial" w:cs="Arial" w:eastAsia="Arial" w:hAnsi="Arial"/>
                <w:sz w:val="16"/>
                <w:szCs w:val="16"/>
                <w:color w:val="auto"/>
              </w:rPr>
              <w:t>Touche LLP as our independent registered</w:t>
            </w:r>
          </w:p>
        </w:tc>
        <w:tc>
          <w:tcPr>
            <w:tcW w:w="3820" w:type="dxa"/>
            <w:vAlign w:val="bottom"/>
            <w:tcBorders>
              <w:right w:val="single" w:sz="8" w:color="B6B6B6"/>
            </w:tcBorders>
          </w:tcPr>
          <w:p>
            <w:pPr>
              <w:ind w:left="120"/>
              <w:spacing w:after="0" w:line="145" w:lineRule="exact"/>
              <w:rPr>
                <w:sz w:val="20"/>
                <w:szCs w:val="20"/>
                <w:color w:val="auto"/>
              </w:rPr>
            </w:pPr>
            <w:r>
              <w:rPr>
                <w:rFonts w:ascii="Arial" w:cs="Arial" w:eastAsia="Arial" w:hAnsi="Arial"/>
                <w:sz w:val="16"/>
                <w:szCs w:val="16"/>
                <w:color w:val="auto"/>
              </w:rPr>
              <w:t>shares present in person or virtually or represented</w:t>
            </w:r>
          </w:p>
        </w:tc>
        <w:tc>
          <w:tcPr>
            <w:tcW w:w="1560" w:type="dxa"/>
            <w:vAlign w:val="bottom"/>
            <w:tcBorders>
              <w:right w:val="single" w:sz="8" w:color="B6B6B6"/>
            </w:tcBorders>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980" w:type="dxa"/>
            <w:vAlign w:val="bottom"/>
            <w:tcBorders>
              <w:left w:val="single" w:sz="8" w:color="B6B6B6"/>
            </w:tcBorders>
          </w:tcPr>
          <w:p>
            <w:pPr>
              <w:spacing w:after="0"/>
              <w:rPr>
                <w:sz w:val="6"/>
                <w:szCs w:val="6"/>
                <w:color w:val="auto"/>
              </w:rPr>
            </w:pPr>
          </w:p>
        </w:tc>
        <w:tc>
          <w:tcPr>
            <w:tcW w:w="120" w:type="dxa"/>
            <w:vAlign w:val="bottom"/>
            <w:tcBorders>
              <w:right w:val="single" w:sz="8" w:color="B6B6B6"/>
            </w:tcBorders>
          </w:tcPr>
          <w:p>
            <w:pPr>
              <w:spacing w:after="0"/>
              <w:rPr>
                <w:sz w:val="6"/>
                <w:szCs w:val="6"/>
                <w:color w:val="auto"/>
              </w:rPr>
            </w:pPr>
          </w:p>
        </w:tc>
        <w:tc>
          <w:tcPr>
            <w:tcW w:w="3180" w:type="dxa"/>
            <w:vAlign w:val="bottom"/>
            <w:tcBorders>
              <w:right w:val="single" w:sz="8" w:color="B6B6B6"/>
            </w:tcBorders>
            <w:vMerge w:val="continue"/>
          </w:tcPr>
          <w:p>
            <w:pPr>
              <w:spacing w:after="0"/>
              <w:rPr>
                <w:sz w:val="6"/>
                <w:szCs w:val="6"/>
                <w:color w:val="auto"/>
              </w:rPr>
            </w:pPr>
          </w:p>
        </w:tc>
        <w:tc>
          <w:tcPr>
            <w:tcW w:w="3820" w:type="dxa"/>
            <w:vAlign w:val="bottom"/>
            <w:tcBorders>
              <w:right w:val="single" w:sz="8" w:color="B6B6B6"/>
            </w:tcBorders>
            <w:vMerge w:val="restart"/>
          </w:tcPr>
          <w:p>
            <w:pPr>
              <w:ind w:left="120"/>
              <w:spacing w:after="0"/>
              <w:rPr>
                <w:sz w:val="20"/>
                <w:szCs w:val="20"/>
                <w:color w:val="auto"/>
              </w:rPr>
            </w:pPr>
            <w:r>
              <w:rPr>
                <w:rFonts w:ascii="Arial" w:cs="Arial" w:eastAsia="Arial" w:hAnsi="Arial"/>
                <w:sz w:val="16"/>
                <w:szCs w:val="16"/>
                <w:color w:val="auto"/>
              </w:rPr>
              <w:t>by proxy and entitled to vote on the matter.</w:t>
            </w:r>
          </w:p>
        </w:tc>
        <w:tc>
          <w:tcPr>
            <w:tcW w:w="1560" w:type="dxa"/>
            <w:vAlign w:val="bottom"/>
            <w:tcBorders>
              <w:right w:val="single" w:sz="8" w:color="B6B6B6"/>
            </w:tcBorders>
          </w:tcPr>
          <w:p>
            <w:pPr>
              <w:spacing w:after="0"/>
              <w:rPr>
                <w:sz w:val="6"/>
                <w:szCs w:val="6"/>
                <w:color w:val="auto"/>
              </w:rPr>
            </w:pPr>
          </w:p>
        </w:tc>
        <w:tc>
          <w:tcPr>
            <w:tcW w:w="1580" w:type="dxa"/>
            <w:vAlign w:val="bottom"/>
          </w:tcPr>
          <w:p>
            <w:pPr>
              <w:spacing w:after="0"/>
              <w:rPr>
                <w:sz w:val="6"/>
                <w:szCs w:val="6"/>
                <w:color w:val="auto"/>
              </w:rPr>
            </w:pPr>
          </w:p>
        </w:tc>
        <w:tc>
          <w:tcPr>
            <w:tcW w:w="20" w:type="dxa"/>
            <w:vAlign w:val="bottom"/>
            <w:shd w:val="clear" w:color="auto" w:fill="B6B6B6"/>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980" w:type="dxa"/>
            <w:vAlign w:val="bottom"/>
            <w:tcBorders>
              <w:left w:val="single" w:sz="8" w:color="B6B6B6"/>
            </w:tcBorders>
          </w:tcPr>
          <w:p>
            <w:pPr>
              <w:spacing w:after="0"/>
              <w:rPr>
                <w:sz w:val="11"/>
                <w:szCs w:val="11"/>
                <w:color w:val="auto"/>
              </w:rPr>
            </w:pPr>
          </w:p>
        </w:tc>
        <w:tc>
          <w:tcPr>
            <w:tcW w:w="120" w:type="dxa"/>
            <w:vAlign w:val="bottom"/>
            <w:tcBorders>
              <w:right w:val="single" w:sz="8" w:color="B6B6B6"/>
            </w:tcBorders>
          </w:tcPr>
          <w:p>
            <w:pPr>
              <w:spacing w:after="0"/>
              <w:rPr>
                <w:sz w:val="11"/>
                <w:szCs w:val="11"/>
                <w:color w:val="auto"/>
              </w:rPr>
            </w:pPr>
          </w:p>
        </w:tc>
        <w:tc>
          <w:tcPr>
            <w:tcW w:w="3180" w:type="dxa"/>
            <w:vAlign w:val="bottom"/>
            <w:tcBorders>
              <w:right w:val="single" w:sz="8" w:color="B6B6B6"/>
            </w:tcBorders>
            <w:vMerge w:val="restart"/>
          </w:tcPr>
          <w:p>
            <w:pPr>
              <w:ind w:left="80"/>
              <w:spacing w:after="0" w:line="183" w:lineRule="exact"/>
              <w:rPr>
                <w:sz w:val="20"/>
                <w:szCs w:val="20"/>
                <w:color w:val="auto"/>
              </w:rPr>
            </w:pPr>
            <w:r>
              <w:rPr>
                <w:rFonts w:ascii="Arial" w:cs="Arial" w:eastAsia="Arial" w:hAnsi="Arial"/>
                <w:sz w:val="16"/>
                <w:szCs w:val="16"/>
                <w:color w:val="auto"/>
              </w:rPr>
              <w:t>public accounting firm for the fiscal year</w:t>
            </w:r>
          </w:p>
        </w:tc>
        <w:tc>
          <w:tcPr>
            <w:tcW w:w="3820" w:type="dxa"/>
            <w:vAlign w:val="bottom"/>
            <w:tcBorders>
              <w:right w:val="single" w:sz="8" w:color="B6B6B6"/>
            </w:tcBorders>
            <w:vMerge w:val="continue"/>
          </w:tcPr>
          <w:p>
            <w:pPr>
              <w:spacing w:after="0"/>
              <w:rPr>
                <w:sz w:val="11"/>
                <w:szCs w:val="11"/>
                <w:color w:val="auto"/>
              </w:rPr>
            </w:pPr>
          </w:p>
        </w:tc>
        <w:tc>
          <w:tcPr>
            <w:tcW w:w="1560" w:type="dxa"/>
            <w:vAlign w:val="bottom"/>
            <w:tcBorders>
              <w:right w:val="single" w:sz="8" w:color="B6B6B6"/>
            </w:tcBorders>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980" w:type="dxa"/>
            <w:vAlign w:val="bottom"/>
            <w:tcBorders>
              <w:left w:val="single" w:sz="8" w:color="B6B6B6"/>
            </w:tcBorders>
          </w:tcPr>
          <w:p>
            <w:pPr>
              <w:spacing w:after="0"/>
              <w:rPr>
                <w:sz w:val="4"/>
                <w:szCs w:val="4"/>
                <w:color w:val="auto"/>
              </w:rPr>
            </w:pPr>
          </w:p>
        </w:tc>
        <w:tc>
          <w:tcPr>
            <w:tcW w:w="120" w:type="dxa"/>
            <w:vAlign w:val="bottom"/>
            <w:tcBorders>
              <w:right w:val="single" w:sz="8" w:color="B6B6B6"/>
            </w:tcBorders>
          </w:tcPr>
          <w:p>
            <w:pPr>
              <w:spacing w:after="0"/>
              <w:rPr>
                <w:sz w:val="4"/>
                <w:szCs w:val="4"/>
                <w:color w:val="auto"/>
              </w:rPr>
            </w:pPr>
          </w:p>
        </w:tc>
        <w:tc>
          <w:tcPr>
            <w:tcW w:w="3180" w:type="dxa"/>
            <w:vAlign w:val="bottom"/>
            <w:tcBorders>
              <w:right w:val="single" w:sz="8" w:color="B6B6B6"/>
            </w:tcBorders>
            <w:vMerge w:val="continue"/>
          </w:tcPr>
          <w:p>
            <w:pPr>
              <w:spacing w:after="0"/>
              <w:rPr>
                <w:sz w:val="4"/>
                <w:szCs w:val="4"/>
                <w:color w:val="auto"/>
              </w:rPr>
            </w:pPr>
          </w:p>
        </w:tc>
        <w:tc>
          <w:tcPr>
            <w:tcW w:w="3820" w:type="dxa"/>
            <w:vAlign w:val="bottom"/>
            <w:tcBorders>
              <w:right w:val="single" w:sz="8" w:color="B6B6B6"/>
            </w:tcBorders>
          </w:tcPr>
          <w:p>
            <w:pPr>
              <w:spacing w:after="0"/>
              <w:rPr>
                <w:sz w:val="4"/>
                <w:szCs w:val="4"/>
                <w:color w:val="auto"/>
              </w:rPr>
            </w:pPr>
          </w:p>
        </w:tc>
        <w:tc>
          <w:tcPr>
            <w:tcW w:w="1560" w:type="dxa"/>
            <w:vAlign w:val="bottom"/>
            <w:tcBorders>
              <w:right w:val="single" w:sz="8" w:color="B6B6B6"/>
            </w:tcBorders>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shd w:val="clear" w:color="auto" w:fill="B6B6B6"/>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980" w:type="dxa"/>
            <w:vAlign w:val="bottom"/>
            <w:tcBorders>
              <w:left w:val="single" w:sz="8" w:color="B6B6B6"/>
            </w:tcBorders>
          </w:tcPr>
          <w:p>
            <w:pPr>
              <w:spacing w:after="0"/>
              <w:rPr>
                <w:sz w:val="17"/>
                <w:szCs w:val="17"/>
                <w:color w:val="auto"/>
              </w:rPr>
            </w:pPr>
          </w:p>
        </w:tc>
        <w:tc>
          <w:tcPr>
            <w:tcW w:w="120" w:type="dxa"/>
            <w:vAlign w:val="bottom"/>
            <w:tcBorders>
              <w:right w:val="single" w:sz="8" w:color="B6B6B6"/>
            </w:tcBorders>
          </w:tcPr>
          <w:p>
            <w:pPr>
              <w:spacing w:after="0"/>
              <w:rPr>
                <w:sz w:val="17"/>
                <w:szCs w:val="17"/>
                <w:color w:val="auto"/>
              </w:rPr>
            </w:pPr>
          </w:p>
        </w:tc>
        <w:tc>
          <w:tcPr>
            <w:tcW w:w="3180" w:type="dxa"/>
            <w:vAlign w:val="bottom"/>
            <w:tcBorders>
              <w:right w:val="single" w:sz="8" w:color="B6B6B6"/>
            </w:tcBorders>
          </w:tcPr>
          <w:p>
            <w:pPr>
              <w:ind w:left="80"/>
              <w:spacing w:after="0"/>
              <w:rPr>
                <w:sz w:val="20"/>
                <w:szCs w:val="20"/>
                <w:color w:val="auto"/>
              </w:rPr>
            </w:pPr>
            <w:r>
              <w:rPr>
                <w:rFonts w:ascii="Arial" w:cs="Arial" w:eastAsia="Arial" w:hAnsi="Arial"/>
                <w:sz w:val="16"/>
                <w:szCs w:val="16"/>
                <w:color w:val="auto"/>
              </w:rPr>
              <w:t>ending December 31, 2024</w:t>
            </w:r>
          </w:p>
        </w:tc>
        <w:tc>
          <w:tcPr>
            <w:tcW w:w="3820" w:type="dxa"/>
            <w:vAlign w:val="bottom"/>
            <w:tcBorders>
              <w:right w:val="single" w:sz="8" w:color="B6B6B6"/>
            </w:tcBorders>
          </w:tcPr>
          <w:p>
            <w:pPr>
              <w:spacing w:after="0"/>
              <w:rPr>
                <w:sz w:val="17"/>
                <w:szCs w:val="17"/>
                <w:color w:val="auto"/>
              </w:rPr>
            </w:pPr>
          </w:p>
        </w:tc>
        <w:tc>
          <w:tcPr>
            <w:tcW w:w="1560" w:type="dxa"/>
            <w:vAlign w:val="bottom"/>
            <w:tcBorders>
              <w:right w:val="single" w:sz="8" w:color="B6B6B6"/>
            </w:tcBorders>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980" w:type="dxa"/>
            <w:vAlign w:val="bottom"/>
            <w:tcBorders>
              <w:left w:val="single" w:sz="8" w:color="B6B6B6"/>
            </w:tcBorders>
          </w:tcPr>
          <w:p>
            <w:pPr>
              <w:spacing w:after="0"/>
              <w:rPr>
                <w:sz w:val="2"/>
                <w:szCs w:val="2"/>
                <w:color w:val="auto"/>
              </w:rPr>
            </w:pPr>
          </w:p>
        </w:tc>
        <w:tc>
          <w:tcPr>
            <w:tcW w:w="120" w:type="dxa"/>
            <w:vAlign w:val="bottom"/>
            <w:tcBorders>
              <w:right w:val="single" w:sz="8" w:color="B6B6B6"/>
            </w:tcBorders>
          </w:tcPr>
          <w:p>
            <w:pPr>
              <w:spacing w:after="0"/>
              <w:rPr>
                <w:sz w:val="2"/>
                <w:szCs w:val="2"/>
                <w:color w:val="auto"/>
              </w:rPr>
            </w:pPr>
          </w:p>
        </w:tc>
        <w:tc>
          <w:tcPr>
            <w:tcW w:w="3180" w:type="dxa"/>
            <w:vAlign w:val="bottom"/>
            <w:tcBorders>
              <w:right w:val="single" w:sz="8" w:color="B6B6B6"/>
            </w:tcBorders>
          </w:tcPr>
          <w:p>
            <w:pPr>
              <w:spacing w:after="0"/>
              <w:rPr>
                <w:sz w:val="2"/>
                <w:szCs w:val="2"/>
                <w:color w:val="auto"/>
              </w:rPr>
            </w:pPr>
          </w:p>
        </w:tc>
        <w:tc>
          <w:tcPr>
            <w:tcW w:w="3820" w:type="dxa"/>
            <w:vAlign w:val="bottom"/>
            <w:tcBorders>
              <w:right w:val="single" w:sz="8" w:color="B6B6B6"/>
            </w:tcBorders>
          </w:tcPr>
          <w:p>
            <w:pPr>
              <w:spacing w:after="0"/>
              <w:rPr>
                <w:sz w:val="2"/>
                <w:szCs w:val="2"/>
                <w:color w:val="auto"/>
              </w:rPr>
            </w:pPr>
          </w:p>
        </w:tc>
        <w:tc>
          <w:tcPr>
            <w:tcW w:w="1560" w:type="dxa"/>
            <w:vAlign w:val="bottom"/>
            <w:tcBorders>
              <w:right w:val="single" w:sz="8" w:color="B6B6B6"/>
            </w:tcBorders>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shd w:val="clear" w:color="auto" w:fill="B6B6B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82" w:name="page83"/>
    <w:bookmarkEnd w:id="82"/>
    <w:p>
      <w:pPr>
        <w:spacing w:after="0"/>
        <w:rPr>
          <w:sz w:val="20"/>
          <w:szCs w:val="20"/>
          <w:color w:val="auto"/>
        </w:rPr>
      </w:pPr>
      <w:r>
        <w:rPr>
          <w:rFonts w:ascii="Arial" w:cs="Arial" w:eastAsia="Arial" w:hAnsi="Arial"/>
          <w:sz w:val="21"/>
          <w:szCs w:val="21"/>
          <w:b w:val="1"/>
          <w:bCs w:val="1"/>
          <w:color w:val="auto"/>
        </w:rPr>
        <w:t>What is the quorum requirement?</w:t>
      </w:r>
    </w:p>
    <w:p>
      <w:pPr>
        <w:spacing w:after="0" w:line="12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outstanding shares entitled to vote are present at the Annual Meeting virtually or represented by proxy. On the Record Date, there were 135,988,561 shares outstanding and entitled to vote. Thus, the holders of 67,994,281 shares must be present in person or virtually or represented by proxy at the meeting to have a quorum.</w:t>
      </w:r>
    </w:p>
    <w:p>
      <w:pPr>
        <w:spacing w:after="0" w:line="15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Your shares will be counted towards the quorum only if you submit a valid proxy (or one is submitted on your behalf by your broker, bank or other nominee) or if you virtually attend the Annual Meeting and vote by internet during the Annual Meeting by visiting </w:t>
      </w:r>
      <w:r>
        <w:rPr>
          <w:rFonts w:ascii="Arial" w:cs="Arial" w:eastAsia="Arial" w:hAnsi="Arial"/>
          <w:sz w:val="16"/>
          <w:szCs w:val="16"/>
          <w:i w:val="1"/>
          <w:iCs w:val="1"/>
          <w:color w:val="auto"/>
        </w:rPr>
        <w:t>www.virtualshareholdermeeting.com/ENPH2024</w:t>
      </w:r>
      <w:r>
        <w:rPr>
          <w:rFonts w:ascii="Arial" w:cs="Arial" w:eastAsia="Arial" w:hAnsi="Arial"/>
          <w:sz w:val="16"/>
          <w:szCs w:val="16"/>
          <w:color w:val="auto"/>
        </w:rPr>
        <w:t>. Abstentions and broker non-votes will be counted towards the quorum requirement. If there is no quorum, the holders of a majority of shares present in person or virtually during the Annual Meeting or represented by proxy may adjourn the meeting to another date.</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can I find out the results of the voting at the Annual Meeting?</w:t>
      </w:r>
    </w:p>
    <w:p>
      <w:pPr>
        <w:spacing w:after="0" w:line="1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w:t>
      </w:r>
      <w:r>
        <w:rPr>
          <w:rFonts w:ascii="MS PGothic" w:cs="MS PGothic" w:eastAsia="MS PGothic" w:hAnsi="MS PGothic"/>
          <w:sz w:val="16"/>
          <w:szCs w:val="16"/>
          <w:color w:val="auto"/>
        </w:rPr>
        <w:t>‑</w:t>
      </w:r>
      <w:r>
        <w:rPr>
          <w:rFonts w:ascii="Arial" w:cs="Arial" w:eastAsia="Arial" w:hAnsi="Arial"/>
          <w:sz w:val="16"/>
          <w:szCs w:val="16"/>
          <w:color w:val="auto"/>
        </w:rPr>
        <w:t>K to publish preliminary results and, within four business days after the final results are known to us, file an additional Form 8-K to publish the final results.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Who should I contact if I have any questions?</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If you have any questions about the Annual Meeting, our proxy materials or your ownership of our common stock, please contact our Corporate Secretary, at 47281 Bayside Parkway, Fremont, CA 94538, USA, telephone 1-707-774-7000.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216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83" w:name="page84"/>
    <w:bookmarkEnd w:id="83"/>
    <w:p>
      <w:pPr>
        <w:spacing w:after="0"/>
        <w:rPr>
          <w:sz w:val="20"/>
          <w:szCs w:val="20"/>
          <w:color w:val="auto"/>
        </w:rPr>
      </w:pPr>
      <w:r>
        <w:rPr>
          <w:rFonts w:ascii="Arial" w:cs="Arial" w:eastAsia="Arial" w:hAnsi="Arial"/>
          <w:sz w:val="42"/>
          <w:szCs w:val="42"/>
          <w:b w:val="1"/>
          <w:bCs w:val="1"/>
          <w:color w:val="auto"/>
        </w:rPr>
        <w:t>Appendix A</w:t>
      </w:r>
    </w:p>
    <w:p>
      <w:pPr>
        <w:spacing w:after="0" w:line="31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Enphase Energy, Inc.</w:t>
      </w:r>
    </w:p>
    <w:p>
      <w:pPr>
        <w:spacing w:after="0" w:line="234" w:lineRule="exact"/>
        <w:rPr>
          <w:sz w:val="20"/>
          <w:szCs w:val="20"/>
          <w:color w:val="auto"/>
        </w:rPr>
      </w:pPr>
    </w:p>
    <w:p>
      <w:pPr>
        <w:ind w:right="3540"/>
        <w:spacing w:after="0" w:line="305" w:lineRule="auto"/>
        <w:rPr>
          <w:sz w:val="20"/>
          <w:szCs w:val="20"/>
          <w:color w:val="auto"/>
        </w:rPr>
      </w:pPr>
      <w:r>
        <w:rPr>
          <w:rFonts w:ascii="Arial" w:cs="Arial" w:eastAsia="Arial" w:hAnsi="Arial"/>
          <w:sz w:val="21"/>
          <w:szCs w:val="21"/>
          <w:b w:val="1"/>
          <w:bCs w:val="1"/>
          <w:color w:val="auto"/>
        </w:rPr>
        <w:t>Reconciliation of GAAP Financial Measures to Non-GAAP Financial Measures (In thousands, except percentages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25400</wp:posOffset>
            </wp:positionV>
            <wp:extent cx="39998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999865" cy="8255"/>
                    </a:xfrm>
                    <a:prstGeom prst="rect">
                      <a:avLst/>
                    </a:prstGeom>
                    <a:noFill/>
                  </pic:spPr>
                </pic:pic>
              </a:graphicData>
            </a:graphic>
          </wp:anchor>
        </w:drawing>
      </w:r>
    </w:p>
    <w:p>
      <w:pPr>
        <w:spacing w:after="0" w:line="50"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3C3C3C"/>
        </w:rPr>
        <w:t>Year Ended</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4960" w:type="dxa"/>
            <w:vAlign w:val="bottom"/>
            <w:tcBorders>
              <w:left w:val="single" w:sz="8" w:color="3C3C3C"/>
              <w:right w:val="single" w:sz="8" w:color="3C3C3C"/>
            </w:tcBorders>
            <w:shd w:val="clear" w:color="auto" w:fill="3C3C3C"/>
          </w:tcPr>
          <w:p>
            <w:pPr>
              <w:spacing w:after="0"/>
              <w:rPr>
                <w:sz w:val="15"/>
                <w:szCs w:val="15"/>
                <w:color w:val="auto"/>
              </w:rPr>
            </w:pPr>
          </w:p>
        </w:tc>
        <w:tc>
          <w:tcPr>
            <w:tcW w:w="1280" w:type="dxa"/>
            <w:vAlign w:val="bottom"/>
            <w:tcBorders>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December 31,</w:t>
            </w:r>
          </w:p>
        </w:tc>
        <w:tc>
          <w:tcPr>
            <w:tcW w:w="1280" w:type="dxa"/>
            <w:vAlign w:val="bottom"/>
            <w:tcBorders>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December 31,</w:t>
            </w:r>
          </w:p>
        </w:tc>
        <w:tc>
          <w:tcPr>
            <w:tcW w:w="1280" w:type="dxa"/>
            <w:vAlign w:val="bottom"/>
            <w:tcBorders>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December 31,</w:t>
            </w:r>
          </w:p>
        </w:tc>
        <w:tc>
          <w:tcPr>
            <w:tcW w:w="1280" w:type="dxa"/>
            <w:vAlign w:val="bottom"/>
            <w:tcBorders>
              <w:right w:val="single" w:sz="8" w:color="3C3C3C"/>
            </w:tcBorders>
            <w:shd w:val="clear" w:color="auto" w:fill="3C3C3C"/>
          </w:tcPr>
          <w:p>
            <w:pPr>
              <w:ind w:left="120"/>
              <w:spacing w:after="0"/>
              <w:rPr>
                <w:sz w:val="20"/>
                <w:szCs w:val="20"/>
                <w:color w:val="auto"/>
              </w:rPr>
            </w:pPr>
            <w:r>
              <w:rPr>
                <w:rFonts w:ascii="Arial" w:cs="Arial" w:eastAsia="Arial" w:hAnsi="Arial"/>
                <w:sz w:val="14"/>
                <w:szCs w:val="14"/>
                <w:b w:val="1"/>
                <w:bCs w:val="1"/>
                <w:color w:val="FFFFFF"/>
              </w:rPr>
              <w:t>December 31,</w:t>
            </w:r>
          </w:p>
        </w:tc>
        <w:tc>
          <w:tcPr>
            <w:tcW w:w="1160" w:type="dxa"/>
            <w:vAlign w:val="bottom"/>
            <w:shd w:val="clear" w:color="auto" w:fill="3C3C3C"/>
          </w:tcPr>
          <w:p>
            <w:pPr>
              <w:ind w:left="120"/>
              <w:spacing w:after="0"/>
              <w:rPr>
                <w:sz w:val="20"/>
                <w:szCs w:val="20"/>
                <w:color w:val="auto"/>
              </w:rPr>
            </w:pPr>
            <w:r>
              <w:rPr>
                <w:rFonts w:ascii="Arial" w:cs="Arial" w:eastAsia="Arial" w:hAnsi="Arial"/>
                <w:sz w:val="14"/>
                <w:szCs w:val="14"/>
                <w:b w:val="1"/>
                <w:bCs w:val="1"/>
                <w:color w:val="FFFFFF"/>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960" w:type="dxa"/>
            <w:vAlign w:val="bottom"/>
            <w:tcBorders>
              <w:left w:val="single" w:sz="8" w:color="3C3C3C"/>
              <w:right w:val="single" w:sz="8" w:color="3C3C3C"/>
            </w:tcBorders>
            <w:shd w:val="clear" w:color="auto" w:fill="3C3C3C"/>
          </w:tcPr>
          <w:p>
            <w:pPr>
              <w:spacing w:after="0"/>
              <w:rPr>
                <w:sz w:val="17"/>
                <w:szCs w:val="17"/>
                <w:color w:val="auto"/>
              </w:rPr>
            </w:pPr>
          </w:p>
        </w:tc>
        <w:tc>
          <w:tcPr>
            <w:tcW w:w="1280" w:type="dxa"/>
            <w:vAlign w:val="bottom"/>
            <w:tcBorders>
              <w:right w:val="single" w:sz="8" w:color="3C3C3C"/>
            </w:tcBorders>
            <w:shd w:val="clear" w:color="auto" w:fill="3C3C3C"/>
          </w:tcPr>
          <w:p>
            <w:pPr>
              <w:jc w:val="center"/>
              <w:ind w:right="62"/>
              <w:spacing w:after="0"/>
              <w:rPr>
                <w:sz w:val="20"/>
                <w:szCs w:val="20"/>
                <w:color w:val="auto"/>
              </w:rPr>
            </w:pPr>
            <w:r>
              <w:rPr>
                <w:rFonts w:ascii="Arial" w:cs="Arial" w:eastAsia="Arial" w:hAnsi="Arial"/>
                <w:sz w:val="14"/>
                <w:szCs w:val="14"/>
                <w:b w:val="1"/>
                <w:bCs w:val="1"/>
                <w:color w:val="FFFFFF"/>
                <w:w w:val="96"/>
              </w:rPr>
              <w:t>2023</w:t>
            </w:r>
          </w:p>
        </w:tc>
        <w:tc>
          <w:tcPr>
            <w:tcW w:w="1280" w:type="dxa"/>
            <w:vAlign w:val="bottom"/>
            <w:tcBorders>
              <w:right w:val="single" w:sz="8" w:color="3C3C3C"/>
            </w:tcBorders>
            <w:shd w:val="clear" w:color="auto" w:fill="3C3C3C"/>
          </w:tcPr>
          <w:p>
            <w:pPr>
              <w:jc w:val="center"/>
              <w:ind w:right="62"/>
              <w:spacing w:after="0"/>
              <w:rPr>
                <w:sz w:val="20"/>
                <w:szCs w:val="20"/>
                <w:color w:val="auto"/>
              </w:rPr>
            </w:pPr>
            <w:r>
              <w:rPr>
                <w:rFonts w:ascii="Arial" w:cs="Arial" w:eastAsia="Arial" w:hAnsi="Arial"/>
                <w:sz w:val="14"/>
                <w:szCs w:val="14"/>
                <w:b w:val="1"/>
                <w:bCs w:val="1"/>
                <w:color w:val="FFFFFF"/>
                <w:w w:val="96"/>
              </w:rPr>
              <w:t>2022</w:t>
            </w:r>
          </w:p>
        </w:tc>
        <w:tc>
          <w:tcPr>
            <w:tcW w:w="1280" w:type="dxa"/>
            <w:vAlign w:val="bottom"/>
            <w:tcBorders>
              <w:right w:val="single" w:sz="8" w:color="3C3C3C"/>
            </w:tcBorders>
            <w:shd w:val="clear" w:color="auto" w:fill="3C3C3C"/>
          </w:tcPr>
          <w:p>
            <w:pPr>
              <w:jc w:val="center"/>
              <w:ind w:right="62"/>
              <w:spacing w:after="0"/>
              <w:rPr>
                <w:sz w:val="20"/>
                <w:szCs w:val="20"/>
                <w:color w:val="auto"/>
              </w:rPr>
            </w:pPr>
            <w:r>
              <w:rPr>
                <w:rFonts w:ascii="Arial" w:cs="Arial" w:eastAsia="Arial" w:hAnsi="Arial"/>
                <w:sz w:val="14"/>
                <w:szCs w:val="14"/>
                <w:b w:val="1"/>
                <w:bCs w:val="1"/>
                <w:color w:val="FFFFFF"/>
                <w:w w:val="96"/>
              </w:rPr>
              <w:t>2021</w:t>
            </w:r>
          </w:p>
        </w:tc>
        <w:tc>
          <w:tcPr>
            <w:tcW w:w="1280" w:type="dxa"/>
            <w:vAlign w:val="bottom"/>
            <w:tcBorders>
              <w:right w:val="single" w:sz="8" w:color="3C3C3C"/>
            </w:tcBorders>
            <w:shd w:val="clear" w:color="auto" w:fill="3C3C3C"/>
          </w:tcPr>
          <w:p>
            <w:pPr>
              <w:jc w:val="center"/>
              <w:ind w:right="62"/>
              <w:spacing w:after="0"/>
              <w:rPr>
                <w:sz w:val="20"/>
                <w:szCs w:val="20"/>
                <w:color w:val="auto"/>
              </w:rPr>
            </w:pPr>
            <w:r>
              <w:rPr>
                <w:rFonts w:ascii="Arial" w:cs="Arial" w:eastAsia="Arial" w:hAnsi="Arial"/>
                <w:sz w:val="14"/>
                <w:szCs w:val="14"/>
                <w:b w:val="1"/>
                <w:bCs w:val="1"/>
                <w:color w:val="FFFFFF"/>
                <w:w w:val="96"/>
              </w:rPr>
              <w:t>2020</w:t>
            </w:r>
          </w:p>
        </w:tc>
        <w:tc>
          <w:tcPr>
            <w:tcW w:w="1160" w:type="dxa"/>
            <w:vAlign w:val="bottom"/>
            <w:shd w:val="clear" w:color="auto" w:fill="3C3C3C"/>
          </w:tcPr>
          <w:p>
            <w:pPr>
              <w:jc w:val="center"/>
              <w:spacing w:after="0"/>
              <w:rPr>
                <w:sz w:val="20"/>
                <w:szCs w:val="20"/>
                <w:color w:val="auto"/>
              </w:rPr>
            </w:pPr>
            <w:r>
              <w:rPr>
                <w:rFonts w:ascii="Arial" w:cs="Arial" w:eastAsia="Arial" w:hAnsi="Arial"/>
                <w:sz w:val="14"/>
                <w:szCs w:val="14"/>
                <w:b w:val="1"/>
                <w:bCs w:val="1"/>
                <w:color w:val="FFFFFF"/>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960" w:type="dxa"/>
            <w:vAlign w:val="bottom"/>
            <w:tcBorders>
              <w:left w:val="single" w:sz="8" w:color="B6B6B6"/>
              <w:right w:val="single" w:sz="8" w:color="B6B6B6"/>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Gross margin (GAAP)</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6"/>
              </w:rPr>
              <w:t>46.2%</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6"/>
              </w:rPr>
              <w:t>41.8%</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6"/>
              </w:rPr>
              <w:t>40.1%</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6"/>
              </w:rPr>
              <w:t>44.7%</w:t>
            </w:r>
          </w:p>
        </w:tc>
        <w:tc>
          <w:tcPr>
            <w:tcW w:w="11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6"/>
              </w:rPr>
              <w:t>35.4%</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tcBorders>
              <w:left w:val="single" w:sz="8" w:color="B6B6B6"/>
              <w:right w:val="single" w:sz="8" w:color="B6B6B6"/>
            </w:tcBorders>
          </w:tcPr>
          <w:p>
            <w:pPr>
              <w:ind w:left="220"/>
              <w:spacing w:after="0"/>
              <w:rPr>
                <w:sz w:val="20"/>
                <w:szCs w:val="20"/>
                <w:color w:val="auto"/>
              </w:rPr>
            </w:pPr>
            <w:r>
              <w:rPr>
                <w:rFonts w:ascii="Arial" w:cs="Arial" w:eastAsia="Arial" w:hAnsi="Arial"/>
                <w:sz w:val="16"/>
                <w:szCs w:val="16"/>
                <w:b w:val="1"/>
                <w:bCs w:val="1"/>
                <w:color w:val="auto"/>
              </w:rPr>
              <w:t>Stock-based compensation</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89"/>
              </w:rPr>
              <w:t>0.6</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89"/>
              </w:rPr>
              <w:t>0.5</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89"/>
              </w:rPr>
              <w:t>0.6</w:t>
            </w:r>
          </w:p>
        </w:tc>
        <w:tc>
          <w:tcPr>
            <w:tcW w:w="1280" w:type="dxa"/>
            <w:vAlign w:val="bottom"/>
            <w:tcBorders>
              <w:right w:val="single" w:sz="8" w:color="B6B6B6"/>
            </w:tcBorders>
          </w:tcPr>
          <w:p>
            <w:pPr>
              <w:jc w:val="center"/>
              <w:ind w:right="22"/>
              <w:spacing w:after="0"/>
              <w:rPr>
                <w:sz w:val="20"/>
                <w:szCs w:val="20"/>
                <w:color w:val="auto"/>
              </w:rPr>
            </w:pPr>
            <w:r>
              <w:rPr>
                <w:rFonts w:ascii="Arial" w:cs="Arial" w:eastAsia="Arial" w:hAnsi="Arial"/>
                <w:sz w:val="16"/>
                <w:szCs w:val="16"/>
                <w:color w:val="auto"/>
                <w:w w:val="98"/>
              </w:rPr>
              <w:t>0.5</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0.3</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Borders>
              <w:left w:val="single" w:sz="8" w:color="B6B6B6"/>
              <w:right w:val="single" w:sz="8" w:color="B6B6B6"/>
            </w:tcBorders>
            <w:shd w:val="clear" w:color="auto" w:fill="FAF6EF"/>
          </w:tcPr>
          <w:p>
            <w:pPr>
              <w:ind w:left="220"/>
              <w:spacing w:after="0"/>
              <w:rPr>
                <w:sz w:val="20"/>
                <w:szCs w:val="20"/>
                <w:color w:val="auto"/>
              </w:rPr>
            </w:pPr>
            <w:r>
              <w:rPr>
                <w:rFonts w:ascii="Arial" w:cs="Arial" w:eastAsia="Arial" w:hAnsi="Arial"/>
                <w:sz w:val="16"/>
                <w:szCs w:val="16"/>
                <w:b w:val="1"/>
                <w:bCs w:val="1"/>
                <w:color w:val="auto"/>
              </w:rPr>
              <w:t>Acquisition related expenses and amortization</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89"/>
              </w:rPr>
              <w:t>0.3</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89"/>
              </w:rPr>
              <w:t>0.3</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tcBorders>
              <w:left w:val="single" w:sz="8" w:color="B6B6B6"/>
              <w:bottom w:val="single" w:sz="8" w:color="FAF6EF"/>
              <w:right w:val="single" w:sz="8" w:color="B6B6B6"/>
            </w:tcBorders>
          </w:tcPr>
          <w:p>
            <w:pPr>
              <w:ind w:left="220"/>
              <w:spacing w:after="0"/>
              <w:rPr>
                <w:sz w:val="20"/>
                <w:szCs w:val="20"/>
                <w:color w:val="auto"/>
              </w:rPr>
            </w:pPr>
            <w:r>
              <w:rPr>
                <w:rFonts w:ascii="Arial" w:cs="Arial" w:eastAsia="Arial" w:hAnsi="Arial"/>
                <w:sz w:val="16"/>
                <w:szCs w:val="16"/>
                <w:b w:val="1"/>
                <w:bCs w:val="1"/>
                <w:color w:val="auto"/>
              </w:rPr>
              <w:t>Tariff refunds</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color w:val="auto"/>
                <w:w w:val="97"/>
              </w:rPr>
              <w:t>(5.1)</w:t>
            </w:r>
          </w:p>
        </w:tc>
        <w:tc>
          <w:tcPr>
            <w:tcW w:w="1160" w:type="dxa"/>
            <w:vAlign w:val="bottom"/>
            <w:tcBorders>
              <w:bottom w:val="single" w:sz="8" w:color="3C3C3C"/>
            </w:tcBorders>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Borders>
              <w:bottom w:val="single" w:sz="8" w:color="B6B6B6"/>
            </w:tcBorders>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960" w:type="dxa"/>
            <w:vAlign w:val="bottom"/>
            <w:tcBorders>
              <w:left w:val="single" w:sz="8" w:color="B6B6B6"/>
              <w:bottom w:val="single" w:sz="8" w:color="FAF6EF"/>
              <w:right w:val="single" w:sz="8" w:color="B6B6B6"/>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Gross margin (Non-GAAP)</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b w:val="1"/>
                <w:bCs w:val="1"/>
                <w:color w:val="auto"/>
                <w:w w:val="96"/>
              </w:rPr>
              <w:t>47.1%</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b w:val="1"/>
                <w:bCs w:val="1"/>
                <w:color w:val="auto"/>
                <w:w w:val="96"/>
              </w:rPr>
              <w:t>42.6%</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b w:val="1"/>
                <w:bCs w:val="1"/>
                <w:color w:val="auto"/>
                <w:w w:val="96"/>
              </w:rPr>
              <w:t>40.7%</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b w:val="1"/>
                <w:bCs w:val="1"/>
                <w:color w:val="auto"/>
                <w:w w:val="96"/>
              </w:rPr>
              <w:t>40.1%</w:t>
            </w:r>
          </w:p>
        </w:tc>
        <w:tc>
          <w:tcPr>
            <w:tcW w:w="1160" w:type="dxa"/>
            <w:vAlign w:val="bottom"/>
            <w:tcBorders>
              <w:bottom w:val="single" w:sz="8" w:color="3C3C3C"/>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6"/>
              </w:rPr>
              <w:t>35.7%</w:t>
            </w:r>
          </w:p>
        </w:tc>
        <w:tc>
          <w:tcPr>
            <w:tcW w:w="2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FAF6EF"/>
              <w:left w:val="single" w:sz="8" w:color="B6B6B6"/>
            </w:tcBorders>
          </w:tcPr>
          <w:p>
            <w:pPr>
              <w:spacing w:after="0" w:line="20" w:lineRule="exact"/>
              <w:rPr>
                <w:sz w:val="1"/>
                <w:szCs w:val="1"/>
                <w:color w:val="auto"/>
              </w:rPr>
            </w:pPr>
          </w:p>
        </w:tc>
        <w:tc>
          <w:tcPr>
            <w:tcW w:w="1280" w:type="dxa"/>
            <w:vAlign w:val="bottom"/>
            <w:tcBorders>
              <w:top w:val="single" w:sz="8" w:color="FAF6EF"/>
              <w:bottom w:val="single" w:sz="8" w:color="3C3C3C"/>
            </w:tcBorders>
          </w:tcPr>
          <w:p>
            <w:pPr>
              <w:spacing w:after="0" w:line="20" w:lineRule="exact"/>
              <w:rPr>
                <w:sz w:val="1"/>
                <w:szCs w:val="1"/>
                <w:color w:val="auto"/>
              </w:rPr>
            </w:pPr>
          </w:p>
        </w:tc>
        <w:tc>
          <w:tcPr>
            <w:tcW w:w="1280" w:type="dxa"/>
            <w:vAlign w:val="bottom"/>
            <w:tcBorders>
              <w:top w:val="single" w:sz="8" w:color="FAF6EF"/>
              <w:bottom w:val="single" w:sz="8" w:color="3C3C3C"/>
            </w:tcBorders>
          </w:tcPr>
          <w:p>
            <w:pPr>
              <w:spacing w:after="0" w:line="20" w:lineRule="exact"/>
              <w:rPr>
                <w:sz w:val="1"/>
                <w:szCs w:val="1"/>
                <w:color w:val="auto"/>
              </w:rPr>
            </w:pPr>
          </w:p>
        </w:tc>
        <w:tc>
          <w:tcPr>
            <w:tcW w:w="1280" w:type="dxa"/>
            <w:vAlign w:val="bottom"/>
            <w:tcBorders>
              <w:top w:val="single" w:sz="8" w:color="FAF6EF"/>
              <w:bottom w:val="single" w:sz="8" w:color="3C3C3C"/>
            </w:tcBorders>
          </w:tcPr>
          <w:p>
            <w:pPr>
              <w:spacing w:after="0" w:line="20" w:lineRule="exact"/>
              <w:rPr>
                <w:sz w:val="1"/>
                <w:szCs w:val="1"/>
                <w:color w:val="auto"/>
              </w:rPr>
            </w:pPr>
          </w:p>
        </w:tc>
        <w:tc>
          <w:tcPr>
            <w:tcW w:w="1280" w:type="dxa"/>
            <w:vAlign w:val="bottom"/>
            <w:tcBorders>
              <w:top w:val="single" w:sz="8" w:color="FAF6EF"/>
              <w:bottom w:val="single" w:sz="8" w:color="3C3C3C"/>
            </w:tcBorders>
          </w:tcPr>
          <w:p>
            <w:pPr>
              <w:spacing w:after="0" w:line="20" w:lineRule="exact"/>
              <w:rPr>
                <w:sz w:val="1"/>
                <w:szCs w:val="1"/>
                <w:color w:val="auto"/>
              </w:rPr>
            </w:pPr>
          </w:p>
        </w:tc>
        <w:tc>
          <w:tcPr>
            <w:tcW w:w="1160" w:type="dxa"/>
            <w:vAlign w:val="bottom"/>
            <w:tcBorders>
              <w:top w:val="single" w:sz="8" w:color="FAF6EF"/>
              <w:bottom w:val="single" w:sz="8" w:color="3C3C3C"/>
            </w:tcBorders>
          </w:tcPr>
          <w:p>
            <w:pPr>
              <w:spacing w:after="0" w:line="20" w:lineRule="exact"/>
              <w:rPr>
                <w:sz w:val="1"/>
                <w:szCs w:val="1"/>
                <w:color w:val="auto"/>
              </w:rPr>
            </w:pPr>
          </w:p>
        </w:tc>
        <w:tc>
          <w:tcPr>
            <w:tcW w:w="20" w:type="dxa"/>
            <w:vAlign w:val="bottom"/>
            <w:tcBorders>
              <w:top w:val="single" w:sz="8" w:color="B6B6B6"/>
              <w:bottom w:val="single" w:sz="8" w:color="B6B6B6"/>
            </w:tcBorders>
            <w:shd w:val="clear" w:color="auto" w:fill="B6B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960" w:type="dxa"/>
            <w:vAlign w:val="bottom"/>
            <w:tcBorders>
              <w:left w:val="single" w:sz="8" w:color="B6B6B6"/>
              <w:right w:val="single" w:sz="8" w:color="B6B6B6"/>
            </w:tcBorders>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4960" w:type="dxa"/>
            <w:vAlign w:val="bottom"/>
            <w:tcBorders>
              <w:left w:val="single" w:sz="8" w:color="B6B6B6"/>
              <w:right w:val="single" w:sz="8" w:color="B6B6B6"/>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Net income (GAAP)</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5"/>
              </w:rPr>
              <w:t>$438,936</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5"/>
              </w:rPr>
              <w:t>$397,362</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5"/>
              </w:rPr>
              <w:t>$145,449</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5"/>
              </w:rPr>
              <w:t>$133,995</w:t>
            </w:r>
          </w:p>
        </w:tc>
        <w:tc>
          <w:tcPr>
            <w:tcW w:w="11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6"/>
              </w:rPr>
              <w:t>161,148</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tcBorders>
              <w:left w:val="single" w:sz="8" w:color="B6B6B6"/>
              <w:right w:val="single" w:sz="8" w:color="B6B6B6"/>
            </w:tcBorders>
          </w:tcPr>
          <w:p>
            <w:pPr>
              <w:ind w:left="220"/>
              <w:spacing w:after="0"/>
              <w:rPr>
                <w:sz w:val="20"/>
                <w:szCs w:val="20"/>
                <w:color w:val="auto"/>
              </w:rPr>
            </w:pPr>
            <w:r>
              <w:rPr>
                <w:rFonts w:ascii="Arial" w:cs="Arial" w:eastAsia="Arial" w:hAnsi="Arial"/>
                <w:sz w:val="16"/>
                <w:szCs w:val="16"/>
                <w:b w:val="1"/>
                <w:bCs w:val="1"/>
                <w:color w:val="auto"/>
              </w:rPr>
              <w:t>Stock-based compensation</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6"/>
              </w:rPr>
              <w:t>212,857</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6"/>
              </w:rPr>
              <w:t>216,802</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6"/>
              </w:rPr>
              <w:t>114,286</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8"/>
              </w:rPr>
              <w:t>42,503</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19,441</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Borders>
              <w:left w:val="single" w:sz="8" w:color="B6B6B6"/>
              <w:right w:val="single" w:sz="8" w:color="B6B6B6"/>
            </w:tcBorders>
            <w:shd w:val="clear" w:color="auto" w:fill="FAF6EF"/>
          </w:tcPr>
          <w:p>
            <w:pPr>
              <w:ind w:left="220"/>
              <w:spacing w:after="0"/>
              <w:rPr>
                <w:sz w:val="20"/>
                <w:szCs w:val="20"/>
                <w:color w:val="auto"/>
              </w:rPr>
            </w:pPr>
            <w:r>
              <w:rPr>
                <w:rFonts w:ascii="Arial" w:cs="Arial" w:eastAsia="Arial" w:hAnsi="Arial"/>
                <w:sz w:val="16"/>
                <w:szCs w:val="16"/>
                <w:b w:val="1"/>
                <w:bCs w:val="1"/>
                <w:color w:val="auto"/>
              </w:rPr>
              <w:t>Tariff refunds</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(39,567)</w:t>
            </w:r>
          </w:p>
        </w:tc>
        <w:tc>
          <w:tcPr>
            <w:tcW w:w="11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tcBorders>
              <w:left w:val="single" w:sz="8" w:color="B6B6B6"/>
              <w:right w:val="single" w:sz="8" w:color="B6B6B6"/>
            </w:tcBorders>
          </w:tcPr>
          <w:p>
            <w:pPr>
              <w:ind w:left="220"/>
              <w:spacing w:after="0"/>
              <w:rPr>
                <w:sz w:val="20"/>
                <w:szCs w:val="20"/>
                <w:color w:val="auto"/>
              </w:rPr>
            </w:pPr>
            <w:r>
              <w:rPr>
                <w:rFonts w:ascii="Arial" w:cs="Arial" w:eastAsia="Arial" w:hAnsi="Arial"/>
                <w:sz w:val="16"/>
                <w:szCs w:val="16"/>
                <w:b w:val="1"/>
                <w:bCs w:val="1"/>
                <w:color w:val="auto"/>
              </w:rPr>
              <w:t>Acquisition related expenses and amortization</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8"/>
              </w:rPr>
              <w:t>22,897</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8"/>
              </w:rPr>
              <w:t>22,845</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8"/>
              </w:rPr>
              <w:t>10,936</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2,502</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2,183</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Borders>
              <w:left w:val="single" w:sz="8" w:color="B6B6B6"/>
              <w:right w:val="single" w:sz="8" w:color="B6B6B6"/>
            </w:tcBorders>
            <w:shd w:val="clear" w:color="auto" w:fill="FAF6EF"/>
          </w:tcPr>
          <w:p>
            <w:pPr>
              <w:ind w:left="220"/>
              <w:spacing w:after="0"/>
              <w:rPr>
                <w:sz w:val="20"/>
                <w:szCs w:val="20"/>
                <w:color w:val="auto"/>
              </w:rPr>
            </w:pPr>
            <w:r>
              <w:rPr>
                <w:rFonts w:ascii="Arial" w:cs="Arial" w:eastAsia="Arial" w:hAnsi="Arial"/>
                <w:sz w:val="16"/>
                <w:szCs w:val="16"/>
                <w:b w:val="1"/>
                <w:bCs w:val="1"/>
                <w:color w:val="auto"/>
              </w:rPr>
              <w:t>Restructuring and asset impairment charges</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8"/>
              </w:rPr>
              <w:t>15,715</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2,384</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2,599</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tcBorders>
              <w:left w:val="single" w:sz="8" w:color="B6B6B6"/>
              <w:right w:val="single" w:sz="8" w:color="B6B6B6"/>
            </w:tcBorders>
          </w:tcPr>
          <w:p>
            <w:pPr>
              <w:ind w:left="220"/>
              <w:spacing w:after="0"/>
              <w:rPr>
                <w:sz w:val="20"/>
                <w:szCs w:val="20"/>
                <w:color w:val="auto"/>
              </w:rPr>
            </w:pPr>
            <w:r>
              <w:rPr>
                <w:rFonts w:ascii="Arial" w:cs="Arial" w:eastAsia="Arial" w:hAnsi="Arial"/>
                <w:sz w:val="16"/>
                <w:szCs w:val="16"/>
                <w:b w:val="1"/>
                <w:bCs w:val="1"/>
                <w:color w:val="auto"/>
              </w:rPr>
              <w:t>Non-cash interest expense</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8,380</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8,169</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8"/>
              </w:rPr>
              <w:t>44,387</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8"/>
              </w:rPr>
              <w:t>18,825</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13,205</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Borders>
              <w:left w:val="single" w:sz="8" w:color="B6B6B6"/>
              <w:right w:val="single" w:sz="8" w:color="B6B6B6"/>
            </w:tcBorders>
            <w:shd w:val="clear" w:color="auto" w:fill="FAF6EF"/>
          </w:tcPr>
          <w:p>
            <w:pPr>
              <w:ind w:left="220"/>
              <w:spacing w:after="0"/>
              <w:rPr>
                <w:sz w:val="20"/>
                <w:szCs w:val="20"/>
                <w:color w:val="auto"/>
              </w:rPr>
            </w:pPr>
            <w:r>
              <w:rPr>
                <w:rFonts w:ascii="Arial" w:cs="Arial" w:eastAsia="Arial" w:hAnsi="Arial"/>
                <w:sz w:val="16"/>
                <w:szCs w:val="16"/>
                <w:b w:val="1"/>
                <w:bCs w:val="1"/>
                <w:color w:val="auto"/>
              </w:rPr>
              <w:t>Loss on partial settlement of convertible notes</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8"/>
              </w:rPr>
              <w:t>56,497</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3,037</w:t>
            </w:r>
          </w:p>
        </w:tc>
        <w:tc>
          <w:tcPr>
            <w:tcW w:w="11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tcBorders>
              <w:left w:val="single" w:sz="8" w:color="B6B6B6"/>
              <w:right w:val="single" w:sz="8" w:color="B6B6B6"/>
            </w:tcBorders>
          </w:tcPr>
          <w:p>
            <w:pPr>
              <w:ind w:left="220"/>
              <w:spacing w:after="0"/>
              <w:rPr>
                <w:sz w:val="20"/>
                <w:szCs w:val="20"/>
                <w:color w:val="auto"/>
              </w:rPr>
            </w:pPr>
            <w:r>
              <w:rPr>
                <w:rFonts w:ascii="Arial" w:cs="Arial" w:eastAsia="Arial" w:hAnsi="Arial"/>
                <w:sz w:val="16"/>
                <w:szCs w:val="16"/>
                <w:b w:val="1"/>
                <w:bCs w:val="1"/>
                <w:color w:val="auto"/>
              </w:rPr>
              <w:t>Change in fair value of derivatives</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8"/>
              </w:rPr>
              <w:t>44,348</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Borders>
              <w:left w:val="single" w:sz="8" w:color="B6B6B6"/>
              <w:right w:val="single" w:sz="8" w:color="B6B6B6"/>
            </w:tcBorders>
            <w:shd w:val="clear" w:color="auto" w:fill="FAF6EF"/>
          </w:tcPr>
          <w:p>
            <w:pPr>
              <w:ind w:left="220"/>
              <w:spacing w:after="0"/>
              <w:rPr>
                <w:sz w:val="20"/>
                <w:szCs w:val="20"/>
                <w:color w:val="auto"/>
              </w:rPr>
            </w:pPr>
            <w:r>
              <w:rPr>
                <w:rFonts w:ascii="Arial" w:cs="Arial" w:eastAsia="Arial" w:hAnsi="Arial"/>
                <w:sz w:val="16"/>
                <w:szCs w:val="16"/>
                <w:b w:val="1"/>
                <w:bCs w:val="1"/>
                <w:color w:val="auto"/>
              </w:rPr>
              <w:t>Non-GAAP income tax adjustment</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(85,544)</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6"/>
              </w:rPr>
              <w:t>(138)</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(31,241)</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3"/>
              </w:rPr>
              <w:t>(17,117)</w:t>
            </w:r>
          </w:p>
        </w:tc>
        <w:tc>
          <w:tcPr>
            <w:tcW w:w="1160" w:type="dxa"/>
            <w:vAlign w:val="bottom"/>
            <w:tcBorders>
              <w:bottom w:val="single" w:sz="8" w:color="3C3C3C"/>
            </w:tcBorders>
            <w:shd w:val="clear" w:color="auto" w:fill="FAF6EF"/>
          </w:tcPr>
          <w:p>
            <w:pPr>
              <w:jc w:val="center"/>
              <w:spacing w:after="0"/>
              <w:rPr>
                <w:sz w:val="20"/>
                <w:szCs w:val="20"/>
                <w:color w:val="auto"/>
              </w:rPr>
            </w:pPr>
            <w:r>
              <w:rPr>
                <w:rFonts w:ascii="Arial" w:cs="Arial" w:eastAsia="Arial" w:hAnsi="Arial"/>
                <w:sz w:val="16"/>
                <w:szCs w:val="16"/>
                <w:color w:val="auto"/>
                <w:w w:val="97"/>
              </w:rPr>
              <w:t>(74,371)</w:t>
            </w:r>
          </w:p>
        </w:tc>
        <w:tc>
          <w:tcPr>
            <w:tcW w:w="20" w:type="dxa"/>
            <w:vAlign w:val="bottom"/>
            <w:tcBorders>
              <w:bottom w:val="single" w:sz="8" w:color="B6B6B6"/>
            </w:tcBorders>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60" w:type="dxa"/>
            <w:vAlign w:val="bottom"/>
            <w:tcBorders>
              <w:left w:val="single" w:sz="8" w:color="B6B6B6"/>
              <w:right w:val="single" w:sz="8" w:color="B6B6B6"/>
            </w:tcBorders>
          </w:tcPr>
          <w:p>
            <w:pPr>
              <w:ind w:left="120"/>
              <w:spacing w:after="0"/>
              <w:rPr>
                <w:sz w:val="20"/>
                <w:szCs w:val="20"/>
                <w:color w:val="auto"/>
              </w:rPr>
            </w:pPr>
            <w:r>
              <w:rPr>
                <w:rFonts w:ascii="Arial" w:cs="Arial" w:eastAsia="Arial" w:hAnsi="Arial"/>
                <w:sz w:val="16"/>
                <w:szCs w:val="16"/>
                <w:b w:val="1"/>
                <w:bCs w:val="1"/>
                <w:color w:val="auto"/>
              </w:rPr>
              <w:t>Net income (Non-GAAP)</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b w:val="1"/>
                <w:bCs w:val="1"/>
                <w:color w:val="auto"/>
                <w:w w:val="95"/>
              </w:rPr>
              <w:t>$613,241</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b w:val="1"/>
                <w:bCs w:val="1"/>
                <w:color w:val="auto"/>
                <w:w w:val="95"/>
              </w:rPr>
              <w:t>$647,424</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b w:val="1"/>
                <w:bCs w:val="1"/>
                <w:color w:val="auto"/>
                <w:w w:val="95"/>
              </w:rPr>
              <w:t>$340,314</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b w:val="1"/>
                <w:bCs w:val="1"/>
                <w:color w:val="auto"/>
                <w:w w:val="95"/>
              </w:rPr>
              <w:t>$188,526</w:t>
            </w:r>
          </w:p>
        </w:tc>
        <w:tc>
          <w:tcPr>
            <w:tcW w:w="1160" w:type="dxa"/>
            <w:vAlign w:val="bottom"/>
            <w:tcBorders>
              <w:bottom w:val="single" w:sz="8" w:color="3C3C3C"/>
            </w:tcBorders>
          </w:tcPr>
          <w:p>
            <w:pPr>
              <w:jc w:val="center"/>
              <w:spacing w:after="0"/>
              <w:rPr>
                <w:sz w:val="20"/>
                <w:szCs w:val="20"/>
                <w:color w:val="auto"/>
              </w:rPr>
            </w:pPr>
            <w:r>
              <w:rPr>
                <w:rFonts w:ascii="Arial" w:cs="Arial" w:eastAsia="Arial" w:hAnsi="Arial"/>
                <w:sz w:val="16"/>
                <w:szCs w:val="16"/>
                <w:b w:val="1"/>
                <w:bCs w:val="1"/>
                <w:color w:val="auto"/>
                <w:w w:val="95"/>
              </w:rPr>
              <w:t>$124,205</w:t>
            </w:r>
          </w:p>
        </w:tc>
        <w:tc>
          <w:tcPr>
            <w:tcW w:w="2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left w:val="single" w:sz="8" w:color="B6B6B6"/>
              <w:bottom w:val="single" w:sz="8" w:color="FAF6EF"/>
            </w:tcBorders>
          </w:tcPr>
          <w:p>
            <w:pPr>
              <w:spacing w:after="0" w:line="20" w:lineRule="exact"/>
              <w:rPr>
                <w:sz w:val="1"/>
                <w:szCs w:val="1"/>
                <w:color w:val="auto"/>
              </w:rPr>
            </w:pPr>
          </w:p>
        </w:tc>
        <w:tc>
          <w:tcPr>
            <w:tcW w:w="1280" w:type="dxa"/>
            <w:vAlign w:val="bottom"/>
            <w:tcBorders>
              <w:bottom w:val="single" w:sz="8" w:color="3C3C3C"/>
            </w:tcBorders>
          </w:tcPr>
          <w:p>
            <w:pPr>
              <w:spacing w:after="0" w:line="20" w:lineRule="exact"/>
              <w:rPr>
                <w:sz w:val="1"/>
                <w:szCs w:val="1"/>
                <w:color w:val="auto"/>
              </w:rPr>
            </w:pPr>
          </w:p>
        </w:tc>
        <w:tc>
          <w:tcPr>
            <w:tcW w:w="1280" w:type="dxa"/>
            <w:vAlign w:val="bottom"/>
            <w:tcBorders>
              <w:bottom w:val="single" w:sz="8" w:color="3C3C3C"/>
            </w:tcBorders>
          </w:tcPr>
          <w:p>
            <w:pPr>
              <w:spacing w:after="0" w:line="20" w:lineRule="exact"/>
              <w:rPr>
                <w:sz w:val="1"/>
                <w:szCs w:val="1"/>
                <w:color w:val="auto"/>
              </w:rPr>
            </w:pPr>
          </w:p>
        </w:tc>
        <w:tc>
          <w:tcPr>
            <w:tcW w:w="1280" w:type="dxa"/>
            <w:vAlign w:val="bottom"/>
            <w:tcBorders>
              <w:bottom w:val="single" w:sz="8" w:color="3C3C3C"/>
            </w:tcBorders>
          </w:tcPr>
          <w:p>
            <w:pPr>
              <w:spacing w:after="0" w:line="20" w:lineRule="exact"/>
              <w:rPr>
                <w:sz w:val="1"/>
                <w:szCs w:val="1"/>
                <w:color w:val="auto"/>
              </w:rPr>
            </w:pPr>
          </w:p>
        </w:tc>
        <w:tc>
          <w:tcPr>
            <w:tcW w:w="1280" w:type="dxa"/>
            <w:vAlign w:val="bottom"/>
            <w:tcBorders>
              <w:bottom w:val="single" w:sz="8" w:color="3C3C3C"/>
            </w:tcBorders>
          </w:tcPr>
          <w:p>
            <w:pPr>
              <w:spacing w:after="0" w:line="20" w:lineRule="exact"/>
              <w:rPr>
                <w:sz w:val="1"/>
                <w:szCs w:val="1"/>
                <w:color w:val="auto"/>
              </w:rPr>
            </w:pPr>
          </w:p>
        </w:tc>
        <w:tc>
          <w:tcPr>
            <w:tcW w:w="1160" w:type="dxa"/>
            <w:vAlign w:val="bottom"/>
            <w:tcBorders>
              <w:bottom w:val="single" w:sz="8" w:color="3C3C3C"/>
            </w:tcBorders>
          </w:tcPr>
          <w:p>
            <w:pPr>
              <w:spacing w:after="0" w:line="20" w:lineRule="exact"/>
              <w:rPr>
                <w:sz w:val="1"/>
                <w:szCs w:val="1"/>
                <w:color w:val="auto"/>
              </w:rPr>
            </w:pPr>
          </w:p>
        </w:tc>
        <w:tc>
          <w:tcPr>
            <w:tcW w:w="20" w:type="dxa"/>
            <w:vAlign w:val="bottom"/>
            <w:tcBorders>
              <w:bottom w:val="single" w:sz="8" w:color="B6B6B6"/>
            </w:tcBorders>
            <w:shd w:val="clear" w:color="auto" w:fill="B6B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960" w:type="dxa"/>
            <w:vAlign w:val="bottom"/>
            <w:tcBorders>
              <w:left w:val="single" w:sz="8" w:color="B6B6B6"/>
              <w:right w:val="single" w:sz="8" w:color="B6B6B6"/>
            </w:tcBorders>
            <w:shd w:val="clear" w:color="auto" w:fill="FAF6EF"/>
          </w:tcPr>
          <w:p>
            <w:pPr>
              <w:spacing w:after="0"/>
              <w:rPr>
                <w:sz w:val="9"/>
                <w:szCs w:val="9"/>
                <w:color w:val="auto"/>
              </w:rPr>
            </w:pPr>
          </w:p>
        </w:tc>
        <w:tc>
          <w:tcPr>
            <w:tcW w:w="1280" w:type="dxa"/>
            <w:vAlign w:val="bottom"/>
            <w:tcBorders>
              <w:right w:val="single" w:sz="8" w:color="B6B6B6"/>
            </w:tcBorders>
            <w:shd w:val="clear" w:color="auto" w:fill="FAF6EF"/>
          </w:tcPr>
          <w:p>
            <w:pPr>
              <w:spacing w:after="0"/>
              <w:rPr>
                <w:sz w:val="9"/>
                <w:szCs w:val="9"/>
                <w:color w:val="auto"/>
              </w:rPr>
            </w:pPr>
          </w:p>
        </w:tc>
        <w:tc>
          <w:tcPr>
            <w:tcW w:w="1280" w:type="dxa"/>
            <w:vAlign w:val="bottom"/>
            <w:tcBorders>
              <w:right w:val="single" w:sz="8" w:color="B6B6B6"/>
            </w:tcBorders>
            <w:shd w:val="clear" w:color="auto" w:fill="FAF6EF"/>
          </w:tcPr>
          <w:p>
            <w:pPr>
              <w:spacing w:after="0"/>
              <w:rPr>
                <w:sz w:val="9"/>
                <w:szCs w:val="9"/>
                <w:color w:val="auto"/>
              </w:rPr>
            </w:pPr>
          </w:p>
        </w:tc>
        <w:tc>
          <w:tcPr>
            <w:tcW w:w="1280" w:type="dxa"/>
            <w:vAlign w:val="bottom"/>
            <w:tcBorders>
              <w:right w:val="single" w:sz="8" w:color="B6B6B6"/>
            </w:tcBorders>
            <w:shd w:val="clear" w:color="auto" w:fill="FAF6EF"/>
          </w:tcPr>
          <w:p>
            <w:pPr>
              <w:spacing w:after="0"/>
              <w:rPr>
                <w:sz w:val="9"/>
                <w:szCs w:val="9"/>
                <w:color w:val="auto"/>
              </w:rPr>
            </w:pPr>
          </w:p>
        </w:tc>
        <w:tc>
          <w:tcPr>
            <w:tcW w:w="1280" w:type="dxa"/>
            <w:vAlign w:val="bottom"/>
            <w:tcBorders>
              <w:right w:val="single" w:sz="8" w:color="B6B6B6"/>
            </w:tcBorders>
            <w:shd w:val="clear" w:color="auto" w:fill="FAF6EF"/>
          </w:tcPr>
          <w:p>
            <w:pPr>
              <w:spacing w:after="0"/>
              <w:rPr>
                <w:sz w:val="9"/>
                <w:szCs w:val="9"/>
                <w:color w:val="auto"/>
              </w:rPr>
            </w:pPr>
          </w:p>
        </w:tc>
        <w:tc>
          <w:tcPr>
            <w:tcW w:w="1160" w:type="dxa"/>
            <w:vAlign w:val="bottom"/>
            <w:shd w:val="clear" w:color="auto" w:fill="FAF6EF"/>
          </w:tcPr>
          <w:p>
            <w:pPr>
              <w:spacing w:after="0"/>
              <w:rPr>
                <w:sz w:val="9"/>
                <w:szCs w:val="9"/>
                <w:color w:val="auto"/>
              </w:rPr>
            </w:pPr>
          </w:p>
        </w:tc>
        <w:tc>
          <w:tcPr>
            <w:tcW w:w="20" w:type="dxa"/>
            <w:vAlign w:val="bottom"/>
            <w:shd w:val="clear" w:color="auto" w:fill="B6B6B6"/>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4960" w:type="dxa"/>
            <w:vAlign w:val="bottom"/>
            <w:tcBorders>
              <w:left w:val="single" w:sz="8" w:color="B6B6B6"/>
              <w:right w:val="single" w:sz="8" w:color="B6B6B6"/>
            </w:tcBorders>
          </w:tcPr>
          <w:p>
            <w:pPr>
              <w:ind w:left="120"/>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5"/>
              </w:rPr>
              <w:t>$696,780</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5"/>
              </w:rPr>
              <w:t>$744,817</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5"/>
              </w:rPr>
              <w:t>$352,028</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5"/>
              </w:rPr>
              <w:t>$216,334</w:t>
            </w: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139,067</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Borders>
              <w:left w:val="single" w:sz="8" w:color="B6B6B6"/>
              <w:right w:val="single" w:sz="8" w:color="B6B6B6"/>
            </w:tcBorders>
            <w:shd w:val="clear" w:color="auto" w:fill="FAF6EF"/>
          </w:tcPr>
          <w:p>
            <w:pPr>
              <w:ind w:left="220"/>
              <w:spacing w:after="0"/>
              <w:rPr>
                <w:sz w:val="20"/>
                <w:szCs w:val="20"/>
                <w:color w:val="auto"/>
              </w:rPr>
            </w:pPr>
            <w:r>
              <w:rPr>
                <w:rFonts w:ascii="Arial" w:cs="Arial" w:eastAsia="Arial" w:hAnsi="Arial"/>
                <w:sz w:val="16"/>
                <w:szCs w:val="16"/>
                <w:b w:val="1"/>
                <w:bCs w:val="1"/>
                <w:color w:val="auto"/>
              </w:rPr>
              <w:t>Purchases of property and equipment</w:t>
            </w:r>
          </w:p>
        </w:tc>
        <w:tc>
          <w:tcPr>
            <w:tcW w:w="1280" w:type="dxa"/>
            <w:vAlign w:val="bottom"/>
            <w:tcBorders>
              <w:right w:val="single" w:sz="8" w:color="B6B6B6"/>
            </w:tcBorders>
            <w:shd w:val="clear" w:color="auto" w:fill="FAF6EF"/>
          </w:tcPr>
          <w:p>
            <w:pPr>
              <w:jc w:val="center"/>
              <w:ind w:right="62"/>
              <w:spacing w:after="0"/>
              <w:rPr>
                <w:sz w:val="20"/>
                <w:szCs w:val="20"/>
                <w:color w:val="auto"/>
              </w:rPr>
            </w:pPr>
            <w:r>
              <w:rPr>
                <w:rFonts w:ascii="Arial" w:cs="Arial" w:eastAsia="Arial" w:hAnsi="Arial"/>
                <w:sz w:val="16"/>
                <w:szCs w:val="16"/>
                <w:color w:val="auto"/>
                <w:w w:val="96"/>
              </w:rPr>
              <w:t>(110,401)</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(46,443)</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(52,258)</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(20,558)</w:t>
            </w:r>
          </w:p>
        </w:tc>
        <w:tc>
          <w:tcPr>
            <w:tcW w:w="11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7"/>
              </w:rPr>
              <w:t>(14,788)</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60" w:type="dxa"/>
            <w:vAlign w:val="bottom"/>
            <w:tcBorders>
              <w:left w:val="single" w:sz="8" w:color="B6B6B6"/>
              <w:right w:val="single" w:sz="8" w:color="B6B6B6"/>
            </w:tcBorders>
          </w:tcPr>
          <w:p>
            <w:pPr>
              <w:ind w:left="200"/>
              <w:spacing w:after="0"/>
              <w:rPr>
                <w:sz w:val="20"/>
                <w:szCs w:val="20"/>
                <w:color w:val="auto"/>
              </w:rPr>
            </w:pPr>
            <w:r>
              <w:rPr>
                <w:rFonts w:ascii="Arial" w:cs="Arial" w:eastAsia="Arial" w:hAnsi="Arial"/>
                <w:sz w:val="16"/>
                <w:szCs w:val="16"/>
                <w:b w:val="1"/>
                <w:bCs w:val="1"/>
                <w:color w:val="auto"/>
              </w:rPr>
              <w:t>Deemed repayment of convertible Notes due 2024 and Notes</w:t>
            </w:r>
          </w:p>
        </w:tc>
        <w:tc>
          <w:tcPr>
            <w:tcW w:w="1280" w:type="dxa"/>
            <w:vAlign w:val="bottom"/>
            <w:tcBorders>
              <w:right w:val="single" w:sz="8" w:color="B6B6B6"/>
            </w:tcBorders>
            <w:vMerge w:val="restart"/>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vMerge w:val="restart"/>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vMerge w:val="restart"/>
          </w:tcPr>
          <w:p>
            <w:pPr>
              <w:jc w:val="center"/>
              <w:ind w:right="42"/>
              <w:spacing w:after="0"/>
              <w:rPr>
                <w:sz w:val="20"/>
                <w:szCs w:val="20"/>
                <w:color w:val="auto"/>
              </w:rPr>
            </w:pPr>
            <w:r>
              <w:rPr>
                <w:rFonts w:ascii="Arial" w:cs="Arial" w:eastAsia="Arial" w:hAnsi="Arial"/>
                <w:sz w:val="16"/>
                <w:szCs w:val="16"/>
                <w:color w:val="auto"/>
                <w:w w:val="98"/>
              </w:rPr>
              <w:t>15,718</w:t>
            </w:r>
          </w:p>
        </w:tc>
        <w:tc>
          <w:tcPr>
            <w:tcW w:w="1280" w:type="dxa"/>
            <w:vAlign w:val="bottom"/>
            <w:tcBorders>
              <w:right w:val="single" w:sz="8" w:color="B6B6B6"/>
            </w:tcBorders>
            <w:vMerge w:val="restart"/>
          </w:tcPr>
          <w:p>
            <w:pPr>
              <w:jc w:val="center"/>
              <w:ind w:right="42"/>
              <w:spacing w:after="0"/>
              <w:rPr>
                <w:sz w:val="20"/>
                <w:szCs w:val="20"/>
                <w:color w:val="auto"/>
              </w:rPr>
            </w:pPr>
            <w:r>
              <w:rPr>
                <w:rFonts w:ascii="Arial" w:cs="Arial" w:eastAsia="Arial" w:hAnsi="Arial"/>
                <w:sz w:val="16"/>
                <w:szCs w:val="16"/>
                <w:color w:val="auto"/>
                <w:w w:val="99"/>
              </w:rPr>
              <w:t>3,132</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960" w:type="dxa"/>
            <w:vAlign w:val="bottom"/>
            <w:tcBorders>
              <w:left w:val="single" w:sz="8" w:color="B6B6B6"/>
              <w:right w:val="single" w:sz="8" w:color="B6B6B6"/>
            </w:tcBorders>
            <w:vMerge w:val="restart"/>
          </w:tcPr>
          <w:p>
            <w:pPr>
              <w:ind w:left="200"/>
              <w:spacing w:after="0"/>
              <w:rPr>
                <w:sz w:val="20"/>
                <w:szCs w:val="20"/>
                <w:color w:val="auto"/>
              </w:rPr>
            </w:pPr>
            <w:r>
              <w:rPr>
                <w:rFonts w:ascii="Arial" w:cs="Arial" w:eastAsia="Arial" w:hAnsi="Arial"/>
                <w:sz w:val="16"/>
                <w:szCs w:val="16"/>
                <w:b w:val="1"/>
                <w:bCs w:val="1"/>
                <w:color w:val="auto"/>
              </w:rPr>
              <w:t>due 2025 attributable to accreted debt discount</w:t>
            </w:r>
          </w:p>
        </w:tc>
        <w:tc>
          <w:tcPr>
            <w:tcW w:w="1280" w:type="dxa"/>
            <w:vAlign w:val="bottom"/>
            <w:tcBorders>
              <w:right w:val="single" w:sz="8" w:color="B6B6B6"/>
            </w:tcBorders>
            <w:vMerge w:val="continue"/>
          </w:tcPr>
          <w:p>
            <w:pPr>
              <w:spacing w:after="0"/>
              <w:rPr>
                <w:sz w:val="10"/>
                <w:szCs w:val="10"/>
                <w:color w:val="auto"/>
              </w:rPr>
            </w:pPr>
          </w:p>
        </w:tc>
        <w:tc>
          <w:tcPr>
            <w:tcW w:w="1280" w:type="dxa"/>
            <w:vAlign w:val="bottom"/>
            <w:tcBorders>
              <w:right w:val="single" w:sz="8" w:color="B6B6B6"/>
            </w:tcBorders>
            <w:vMerge w:val="continue"/>
          </w:tcPr>
          <w:p>
            <w:pPr>
              <w:spacing w:after="0"/>
              <w:rPr>
                <w:sz w:val="10"/>
                <w:szCs w:val="10"/>
                <w:color w:val="auto"/>
              </w:rPr>
            </w:pPr>
          </w:p>
        </w:tc>
        <w:tc>
          <w:tcPr>
            <w:tcW w:w="1280" w:type="dxa"/>
            <w:vAlign w:val="bottom"/>
            <w:tcBorders>
              <w:right w:val="single" w:sz="8" w:color="B6B6B6"/>
            </w:tcBorders>
            <w:vMerge w:val="continue"/>
          </w:tcPr>
          <w:p>
            <w:pPr>
              <w:spacing w:after="0"/>
              <w:rPr>
                <w:sz w:val="10"/>
                <w:szCs w:val="10"/>
                <w:color w:val="auto"/>
              </w:rPr>
            </w:pPr>
          </w:p>
        </w:tc>
        <w:tc>
          <w:tcPr>
            <w:tcW w:w="1280" w:type="dxa"/>
            <w:vAlign w:val="bottom"/>
            <w:tcBorders>
              <w:right w:val="single" w:sz="8" w:color="B6B6B6"/>
            </w:tcBorders>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20" w:type="dxa"/>
            <w:vAlign w:val="bottom"/>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960" w:type="dxa"/>
            <w:vAlign w:val="bottom"/>
            <w:tcBorders>
              <w:left w:val="single" w:sz="8" w:color="B6B6B6"/>
              <w:right w:val="single" w:sz="8" w:color="B6B6B6"/>
            </w:tcBorders>
            <w:vMerge w:val="continue"/>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960" w:type="dxa"/>
            <w:vAlign w:val="bottom"/>
            <w:tcBorders>
              <w:left w:val="single" w:sz="8" w:color="B6B6B6"/>
              <w:bottom w:val="single" w:sz="8" w:color="FAF6EF"/>
              <w:right w:val="single" w:sz="8" w:color="B6B6B6"/>
            </w:tcBorders>
          </w:tcPr>
          <w:p>
            <w:pPr>
              <w:spacing w:after="0" w:line="20" w:lineRule="exact"/>
              <w:rPr>
                <w:sz w:val="1"/>
                <w:szCs w:val="1"/>
                <w:color w:val="auto"/>
              </w:rPr>
            </w:pPr>
          </w:p>
        </w:tc>
        <w:tc>
          <w:tcPr>
            <w:tcW w:w="1280" w:type="dxa"/>
            <w:vAlign w:val="bottom"/>
            <w:tcBorders>
              <w:bottom w:val="single" w:sz="8" w:color="3C3C3C"/>
              <w:right w:val="single" w:sz="8" w:color="B6B6B6"/>
            </w:tcBorders>
          </w:tcPr>
          <w:p>
            <w:pPr>
              <w:spacing w:after="0" w:line="20" w:lineRule="exact"/>
              <w:rPr>
                <w:sz w:val="1"/>
                <w:szCs w:val="1"/>
                <w:color w:val="auto"/>
              </w:rPr>
            </w:pPr>
          </w:p>
        </w:tc>
        <w:tc>
          <w:tcPr>
            <w:tcW w:w="1280" w:type="dxa"/>
            <w:vAlign w:val="bottom"/>
            <w:tcBorders>
              <w:bottom w:val="single" w:sz="8" w:color="3C3C3C"/>
              <w:right w:val="single" w:sz="8" w:color="B6B6B6"/>
            </w:tcBorders>
          </w:tcPr>
          <w:p>
            <w:pPr>
              <w:spacing w:after="0" w:line="20" w:lineRule="exact"/>
              <w:rPr>
                <w:sz w:val="1"/>
                <w:szCs w:val="1"/>
                <w:color w:val="auto"/>
              </w:rPr>
            </w:pPr>
          </w:p>
        </w:tc>
        <w:tc>
          <w:tcPr>
            <w:tcW w:w="1280" w:type="dxa"/>
            <w:vAlign w:val="bottom"/>
            <w:tcBorders>
              <w:bottom w:val="single" w:sz="8" w:color="3C3C3C"/>
              <w:right w:val="single" w:sz="8" w:color="B6B6B6"/>
            </w:tcBorders>
          </w:tcPr>
          <w:p>
            <w:pPr>
              <w:spacing w:after="0" w:line="20" w:lineRule="exact"/>
              <w:rPr>
                <w:sz w:val="1"/>
                <w:szCs w:val="1"/>
                <w:color w:val="auto"/>
              </w:rPr>
            </w:pPr>
          </w:p>
        </w:tc>
        <w:tc>
          <w:tcPr>
            <w:tcW w:w="1280" w:type="dxa"/>
            <w:vAlign w:val="bottom"/>
            <w:tcBorders>
              <w:bottom w:val="single" w:sz="8" w:color="3C3C3C"/>
              <w:right w:val="single" w:sz="8" w:color="B6B6B6"/>
            </w:tcBorders>
          </w:tcPr>
          <w:p>
            <w:pPr>
              <w:spacing w:after="0" w:line="20" w:lineRule="exact"/>
              <w:rPr>
                <w:sz w:val="1"/>
                <w:szCs w:val="1"/>
                <w:color w:val="auto"/>
              </w:rPr>
            </w:pPr>
          </w:p>
        </w:tc>
        <w:tc>
          <w:tcPr>
            <w:tcW w:w="1160" w:type="dxa"/>
            <w:vAlign w:val="bottom"/>
            <w:tcBorders>
              <w:bottom w:val="single" w:sz="8" w:color="3C3C3C"/>
            </w:tcBorders>
          </w:tcPr>
          <w:p>
            <w:pPr>
              <w:spacing w:after="0" w:line="20" w:lineRule="exact"/>
              <w:rPr>
                <w:sz w:val="1"/>
                <w:szCs w:val="1"/>
                <w:color w:val="auto"/>
              </w:rPr>
            </w:pPr>
          </w:p>
        </w:tc>
        <w:tc>
          <w:tcPr>
            <w:tcW w:w="20" w:type="dxa"/>
            <w:vAlign w:val="bottom"/>
            <w:tcBorders>
              <w:bottom w:val="single" w:sz="8" w:color="B6B6B6"/>
            </w:tcBorders>
            <w:shd w:val="clear" w:color="auto" w:fill="B6B6B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960" w:type="dxa"/>
            <w:vAlign w:val="bottom"/>
            <w:tcBorders>
              <w:left w:val="single" w:sz="8" w:color="B6B6B6"/>
              <w:bottom w:val="single" w:sz="8" w:color="FAF6EF"/>
              <w:right w:val="single" w:sz="8" w:color="B6B6B6"/>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Free cash flow (Non-GAAP)</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b w:val="1"/>
                <w:bCs w:val="1"/>
                <w:color w:val="auto"/>
                <w:w w:val="95"/>
              </w:rPr>
              <w:t>$586,379</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b w:val="1"/>
                <w:bCs w:val="1"/>
                <w:color w:val="auto"/>
                <w:w w:val="95"/>
              </w:rPr>
              <w:t>$698,374</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b w:val="1"/>
                <w:bCs w:val="1"/>
                <w:color w:val="auto"/>
                <w:w w:val="95"/>
              </w:rPr>
              <w:t>$315,488</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b w:val="1"/>
                <w:bCs w:val="1"/>
                <w:color w:val="auto"/>
                <w:w w:val="95"/>
              </w:rPr>
              <w:t>$198,908</w:t>
            </w:r>
          </w:p>
        </w:tc>
        <w:tc>
          <w:tcPr>
            <w:tcW w:w="1160" w:type="dxa"/>
            <w:vAlign w:val="bottom"/>
            <w:tcBorders>
              <w:bottom w:val="single" w:sz="8" w:color="3C3C3C"/>
            </w:tcBorders>
            <w:shd w:val="clear" w:color="auto" w:fill="FAF6EF"/>
          </w:tcPr>
          <w:p>
            <w:pPr>
              <w:jc w:val="center"/>
              <w:spacing w:after="0"/>
              <w:rPr>
                <w:sz w:val="20"/>
                <w:szCs w:val="20"/>
                <w:color w:val="auto"/>
              </w:rPr>
            </w:pPr>
            <w:r>
              <w:rPr>
                <w:rFonts w:ascii="Arial" w:cs="Arial" w:eastAsia="Arial" w:hAnsi="Arial"/>
                <w:sz w:val="16"/>
                <w:szCs w:val="16"/>
                <w:b w:val="1"/>
                <w:bCs w:val="1"/>
                <w:color w:val="auto"/>
                <w:w w:val="95"/>
              </w:rPr>
              <w:t>$124,279</w:t>
            </w:r>
          </w:p>
        </w:tc>
        <w:tc>
          <w:tcPr>
            <w:tcW w:w="2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FAF6EF"/>
              <w:left w:val="single" w:sz="8" w:color="B6B6B6"/>
            </w:tcBorders>
          </w:tcPr>
          <w:p>
            <w:pPr>
              <w:spacing w:after="0" w:line="20" w:lineRule="exact"/>
              <w:rPr>
                <w:sz w:val="1"/>
                <w:szCs w:val="1"/>
                <w:color w:val="auto"/>
              </w:rPr>
            </w:pPr>
          </w:p>
        </w:tc>
        <w:tc>
          <w:tcPr>
            <w:tcW w:w="1280" w:type="dxa"/>
            <w:vAlign w:val="bottom"/>
            <w:tcBorders>
              <w:top w:val="single" w:sz="8" w:color="FAF6EF"/>
              <w:bottom w:val="single" w:sz="8" w:color="3C3C3C"/>
            </w:tcBorders>
          </w:tcPr>
          <w:p>
            <w:pPr>
              <w:spacing w:after="0" w:line="20" w:lineRule="exact"/>
              <w:rPr>
                <w:sz w:val="1"/>
                <w:szCs w:val="1"/>
                <w:color w:val="auto"/>
              </w:rPr>
            </w:pPr>
          </w:p>
        </w:tc>
        <w:tc>
          <w:tcPr>
            <w:tcW w:w="1280" w:type="dxa"/>
            <w:vAlign w:val="bottom"/>
            <w:tcBorders>
              <w:top w:val="single" w:sz="8" w:color="FAF6EF"/>
              <w:bottom w:val="single" w:sz="8" w:color="3C3C3C"/>
            </w:tcBorders>
          </w:tcPr>
          <w:p>
            <w:pPr>
              <w:spacing w:after="0" w:line="20" w:lineRule="exact"/>
              <w:rPr>
                <w:sz w:val="1"/>
                <w:szCs w:val="1"/>
                <w:color w:val="auto"/>
              </w:rPr>
            </w:pPr>
          </w:p>
        </w:tc>
        <w:tc>
          <w:tcPr>
            <w:tcW w:w="1280" w:type="dxa"/>
            <w:vAlign w:val="bottom"/>
            <w:tcBorders>
              <w:top w:val="single" w:sz="8" w:color="FAF6EF"/>
              <w:bottom w:val="single" w:sz="8" w:color="3C3C3C"/>
            </w:tcBorders>
          </w:tcPr>
          <w:p>
            <w:pPr>
              <w:spacing w:after="0" w:line="20" w:lineRule="exact"/>
              <w:rPr>
                <w:sz w:val="1"/>
                <w:szCs w:val="1"/>
                <w:color w:val="auto"/>
              </w:rPr>
            </w:pPr>
          </w:p>
        </w:tc>
        <w:tc>
          <w:tcPr>
            <w:tcW w:w="1280" w:type="dxa"/>
            <w:vAlign w:val="bottom"/>
            <w:tcBorders>
              <w:top w:val="single" w:sz="8" w:color="FAF6EF"/>
              <w:bottom w:val="single" w:sz="8" w:color="3C3C3C"/>
            </w:tcBorders>
          </w:tcPr>
          <w:p>
            <w:pPr>
              <w:spacing w:after="0" w:line="20" w:lineRule="exact"/>
              <w:rPr>
                <w:sz w:val="1"/>
                <w:szCs w:val="1"/>
                <w:color w:val="auto"/>
              </w:rPr>
            </w:pPr>
          </w:p>
        </w:tc>
        <w:tc>
          <w:tcPr>
            <w:tcW w:w="1160" w:type="dxa"/>
            <w:vAlign w:val="bottom"/>
            <w:tcBorders>
              <w:top w:val="single" w:sz="8" w:color="FAF6EF"/>
              <w:bottom w:val="single" w:sz="8" w:color="3C3C3C"/>
            </w:tcBorders>
          </w:tcPr>
          <w:p>
            <w:pPr>
              <w:spacing w:after="0" w:line="20" w:lineRule="exact"/>
              <w:rPr>
                <w:sz w:val="1"/>
                <w:szCs w:val="1"/>
                <w:color w:val="auto"/>
              </w:rPr>
            </w:pPr>
          </w:p>
        </w:tc>
        <w:tc>
          <w:tcPr>
            <w:tcW w:w="20" w:type="dxa"/>
            <w:vAlign w:val="bottom"/>
            <w:tcBorders>
              <w:top w:val="single" w:sz="8" w:color="B6B6B6"/>
              <w:bottom w:val="single" w:sz="8" w:color="B6B6B6"/>
            </w:tcBorders>
            <w:shd w:val="clear" w:color="auto" w:fill="B6B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960" w:type="dxa"/>
            <w:vAlign w:val="bottom"/>
            <w:tcBorders>
              <w:left w:val="single" w:sz="8" w:color="B6B6B6"/>
              <w:right w:val="single" w:sz="8" w:color="B6B6B6"/>
            </w:tcBorders>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280" w:type="dxa"/>
            <w:vAlign w:val="bottom"/>
            <w:tcBorders>
              <w:right w:val="single" w:sz="8" w:color="B6B6B6"/>
            </w:tcBorders>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4960" w:type="dxa"/>
            <w:vAlign w:val="bottom"/>
            <w:tcBorders>
              <w:left w:val="single" w:sz="8" w:color="B6B6B6"/>
              <w:right w:val="single" w:sz="8" w:color="B6B6B6"/>
            </w:tcBorders>
            <w:shd w:val="clear" w:color="auto" w:fill="FAF6EF"/>
          </w:tcPr>
          <w:p>
            <w:pPr>
              <w:ind w:left="120"/>
              <w:spacing w:after="0"/>
              <w:rPr>
                <w:sz w:val="20"/>
                <w:szCs w:val="20"/>
                <w:color w:val="auto"/>
              </w:rPr>
            </w:pPr>
            <w:r>
              <w:rPr>
                <w:rFonts w:ascii="Arial" w:cs="Arial" w:eastAsia="Arial" w:hAnsi="Arial"/>
                <w:sz w:val="16"/>
                <w:szCs w:val="16"/>
                <w:b w:val="1"/>
                <w:bCs w:val="1"/>
                <w:color w:val="auto"/>
              </w:rPr>
              <w:t>Net income per share, diluted (GAAP)</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$3.08</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$2.77</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$1.02</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$0.95</w:t>
            </w:r>
          </w:p>
        </w:tc>
        <w:tc>
          <w:tcPr>
            <w:tcW w:w="11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$1.23</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tcBorders>
              <w:left w:val="single" w:sz="8" w:color="B6B6B6"/>
              <w:right w:val="single" w:sz="8" w:color="B6B6B6"/>
            </w:tcBorders>
          </w:tcPr>
          <w:p>
            <w:pPr>
              <w:ind w:left="220"/>
              <w:spacing w:after="0"/>
              <w:rPr>
                <w:sz w:val="20"/>
                <w:szCs w:val="20"/>
                <w:color w:val="auto"/>
              </w:rPr>
            </w:pPr>
            <w:r>
              <w:rPr>
                <w:rFonts w:ascii="Arial" w:cs="Arial" w:eastAsia="Arial" w:hAnsi="Arial"/>
                <w:sz w:val="16"/>
                <w:szCs w:val="16"/>
                <w:b w:val="1"/>
                <w:bCs w:val="1"/>
                <w:color w:val="auto"/>
              </w:rPr>
              <w:t>Stock-based compensation</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rPr>
              <w:t>1.57</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rPr>
              <w:t>1.55</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rPr>
              <w:t>0.81</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rPr>
              <w:t>0.31</w:t>
            </w:r>
          </w:p>
        </w:tc>
        <w:tc>
          <w:tcPr>
            <w:tcW w:w="1160" w:type="dxa"/>
            <w:vAlign w:val="bottom"/>
          </w:tcPr>
          <w:p>
            <w:pPr>
              <w:jc w:val="center"/>
              <w:spacing w:after="0"/>
              <w:rPr>
                <w:sz w:val="20"/>
                <w:szCs w:val="20"/>
                <w:color w:val="auto"/>
              </w:rPr>
            </w:pPr>
            <w:r>
              <w:rPr>
                <w:rFonts w:ascii="Arial" w:cs="Arial" w:eastAsia="Arial" w:hAnsi="Arial"/>
                <w:sz w:val="16"/>
                <w:szCs w:val="16"/>
                <w:color w:val="auto"/>
              </w:rPr>
              <w:t>0.15</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Borders>
              <w:left w:val="single" w:sz="8" w:color="B6B6B6"/>
              <w:right w:val="single" w:sz="8" w:color="B6B6B6"/>
            </w:tcBorders>
            <w:shd w:val="clear" w:color="auto" w:fill="FAF6EF"/>
          </w:tcPr>
          <w:p>
            <w:pPr>
              <w:ind w:left="220"/>
              <w:spacing w:after="0"/>
              <w:rPr>
                <w:sz w:val="20"/>
                <w:szCs w:val="20"/>
                <w:color w:val="auto"/>
              </w:rPr>
            </w:pPr>
            <w:r>
              <w:rPr>
                <w:rFonts w:ascii="Arial" w:cs="Arial" w:eastAsia="Arial" w:hAnsi="Arial"/>
                <w:sz w:val="16"/>
                <w:szCs w:val="16"/>
                <w:b w:val="1"/>
                <w:bCs w:val="1"/>
                <w:color w:val="auto"/>
              </w:rPr>
              <w:t>Acquisition related expenses and amortization</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0.16</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0.16</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0.08</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0.02</w:t>
            </w:r>
          </w:p>
        </w:tc>
        <w:tc>
          <w:tcPr>
            <w:tcW w:w="116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0.02</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tcBorders>
              <w:left w:val="single" w:sz="8" w:color="B6B6B6"/>
              <w:right w:val="single" w:sz="8" w:color="B6B6B6"/>
            </w:tcBorders>
          </w:tcPr>
          <w:p>
            <w:pPr>
              <w:ind w:left="220"/>
              <w:spacing w:after="0"/>
              <w:rPr>
                <w:sz w:val="20"/>
                <w:szCs w:val="20"/>
                <w:color w:val="auto"/>
              </w:rPr>
            </w:pPr>
            <w:r>
              <w:rPr>
                <w:rFonts w:ascii="Arial" w:cs="Arial" w:eastAsia="Arial" w:hAnsi="Arial"/>
                <w:sz w:val="16"/>
                <w:szCs w:val="16"/>
                <w:b w:val="1"/>
                <w:bCs w:val="1"/>
                <w:color w:val="auto"/>
              </w:rPr>
              <w:t>Tariff refunds</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5"/>
              </w:rPr>
              <w:t>(0.28)</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Borders>
              <w:left w:val="single" w:sz="8" w:color="B6B6B6"/>
              <w:right w:val="single" w:sz="8" w:color="B6B6B6"/>
            </w:tcBorders>
            <w:shd w:val="clear" w:color="auto" w:fill="FAF6EF"/>
          </w:tcPr>
          <w:p>
            <w:pPr>
              <w:ind w:left="220"/>
              <w:spacing w:after="0"/>
              <w:rPr>
                <w:sz w:val="20"/>
                <w:szCs w:val="20"/>
                <w:color w:val="auto"/>
              </w:rPr>
            </w:pPr>
            <w:r>
              <w:rPr>
                <w:rFonts w:ascii="Arial" w:cs="Arial" w:eastAsia="Arial" w:hAnsi="Arial"/>
                <w:sz w:val="16"/>
                <w:szCs w:val="16"/>
                <w:b w:val="1"/>
                <w:bCs w:val="1"/>
                <w:color w:val="auto"/>
              </w:rPr>
              <w:t>Restructuring and asset impairment charges</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89"/>
              </w:rPr>
              <w:t>0.11</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0.02</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AF6EF"/>
          </w:tcPr>
          <w:p>
            <w:pPr>
              <w:jc w:val="center"/>
              <w:spacing w:after="0"/>
              <w:rPr>
                <w:sz w:val="20"/>
                <w:szCs w:val="20"/>
                <w:color w:val="auto"/>
              </w:rPr>
            </w:pPr>
            <w:r>
              <w:rPr>
                <w:rFonts w:ascii="Arial" w:cs="Arial" w:eastAsia="Arial" w:hAnsi="Arial"/>
                <w:sz w:val="16"/>
                <w:szCs w:val="16"/>
                <w:color w:val="auto"/>
              </w:rPr>
              <w:t>0.02</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tcBorders>
              <w:left w:val="single" w:sz="8" w:color="B6B6B6"/>
              <w:right w:val="single" w:sz="8" w:color="B6B6B6"/>
            </w:tcBorders>
          </w:tcPr>
          <w:p>
            <w:pPr>
              <w:ind w:left="200"/>
              <w:spacing w:after="0"/>
              <w:rPr>
                <w:sz w:val="20"/>
                <w:szCs w:val="20"/>
                <w:color w:val="auto"/>
              </w:rPr>
            </w:pPr>
            <w:r>
              <w:rPr>
                <w:rFonts w:ascii="Arial" w:cs="Arial" w:eastAsia="Arial" w:hAnsi="Arial"/>
                <w:sz w:val="16"/>
                <w:szCs w:val="16"/>
                <w:b w:val="1"/>
                <w:bCs w:val="1"/>
                <w:color w:val="auto"/>
              </w:rPr>
              <w:t>Non-recurring debt prepayment fees and non-cash interest</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rPr>
              <w:t>0.06</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rPr>
              <w:t>0.06</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rPr>
              <w:t>0.32</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rPr>
              <w:t>0.14</w:t>
            </w:r>
          </w:p>
        </w:tc>
        <w:tc>
          <w:tcPr>
            <w:tcW w:w="1160" w:type="dxa"/>
            <w:vAlign w:val="bottom"/>
          </w:tcPr>
          <w:p>
            <w:pPr>
              <w:jc w:val="center"/>
              <w:spacing w:after="0"/>
              <w:rPr>
                <w:sz w:val="20"/>
                <w:szCs w:val="20"/>
                <w:color w:val="auto"/>
              </w:rPr>
            </w:pPr>
            <w:r>
              <w:rPr>
                <w:rFonts w:ascii="Arial" w:cs="Arial" w:eastAsia="Arial" w:hAnsi="Arial"/>
                <w:sz w:val="16"/>
                <w:szCs w:val="16"/>
                <w:color w:val="auto"/>
              </w:rPr>
              <w:t>0.10</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Borders>
              <w:left w:val="single" w:sz="8" w:color="B6B6B6"/>
              <w:right w:val="single" w:sz="8" w:color="B6B6B6"/>
            </w:tcBorders>
            <w:shd w:val="clear" w:color="auto" w:fill="FAF6EF"/>
          </w:tcPr>
          <w:p>
            <w:pPr>
              <w:ind w:left="220"/>
              <w:spacing w:after="0"/>
              <w:rPr>
                <w:sz w:val="20"/>
                <w:szCs w:val="20"/>
                <w:color w:val="auto"/>
              </w:rPr>
            </w:pPr>
            <w:r>
              <w:rPr>
                <w:rFonts w:ascii="Arial" w:cs="Arial" w:eastAsia="Arial" w:hAnsi="Arial"/>
                <w:sz w:val="16"/>
                <w:szCs w:val="16"/>
                <w:b w:val="1"/>
                <w:bCs w:val="1"/>
                <w:color w:val="auto"/>
              </w:rPr>
              <w:t>Loss on partial settlement of convertible notes</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0.40</w:t>
            </w:r>
          </w:p>
        </w:tc>
        <w:tc>
          <w:tcPr>
            <w:tcW w:w="1280" w:type="dxa"/>
            <w:vAlign w:val="bottom"/>
            <w:tcBorders>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0.02</w:t>
            </w:r>
          </w:p>
        </w:tc>
        <w:tc>
          <w:tcPr>
            <w:tcW w:w="1160" w:type="dxa"/>
            <w:vAlign w:val="bottom"/>
            <w:shd w:val="clear" w:color="auto" w:fill="FAF6E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tcBorders>
              <w:left w:val="single" w:sz="8" w:color="B6B6B6"/>
              <w:right w:val="single" w:sz="8" w:color="B6B6B6"/>
            </w:tcBorders>
          </w:tcPr>
          <w:p>
            <w:pPr>
              <w:ind w:left="220"/>
              <w:spacing w:after="0"/>
              <w:rPr>
                <w:sz w:val="20"/>
                <w:szCs w:val="20"/>
                <w:color w:val="auto"/>
              </w:rPr>
            </w:pPr>
            <w:r>
              <w:rPr>
                <w:rFonts w:ascii="Arial" w:cs="Arial" w:eastAsia="Arial" w:hAnsi="Arial"/>
                <w:sz w:val="16"/>
                <w:szCs w:val="16"/>
                <w:b w:val="1"/>
                <w:bCs w:val="1"/>
                <w:color w:val="auto"/>
              </w:rPr>
              <w:t>Change in fair value of derivatives</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B6B6B6"/>
            </w:tcBorders>
          </w:tcPr>
          <w:p>
            <w:pPr>
              <w:jc w:val="center"/>
              <w:ind w:right="42"/>
              <w:spacing w:after="0"/>
              <w:rPr>
                <w:sz w:val="20"/>
                <w:szCs w:val="20"/>
                <w:color w:val="auto"/>
              </w:rPr>
            </w:pPr>
            <w:r>
              <w:rPr>
                <w:rFonts w:ascii="Arial" w:cs="Arial" w:eastAsia="Arial" w:hAnsi="Arial"/>
                <w:sz w:val="16"/>
                <w:szCs w:val="16"/>
                <w:color w:val="auto"/>
              </w:rPr>
              <w:t>0.33</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Borders>
              <w:left w:val="single" w:sz="8" w:color="B6B6B6"/>
              <w:right w:val="single" w:sz="8" w:color="B6B6B6"/>
            </w:tcBorders>
            <w:shd w:val="clear" w:color="auto" w:fill="FAF6EF"/>
          </w:tcPr>
          <w:p>
            <w:pPr>
              <w:ind w:left="220"/>
              <w:spacing w:after="0"/>
              <w:rPr>
                <w:sz w:val="20"/>
                <w:szCs w:val="20"/>
                <w:color w:val="auto"/>
              </w:rPr>
            </w:pPr>
            <w:r>
              <w:rPr>
                <w:rFonts w:ascii="Arial" w:cs="Arial" w:eastAsia="Arial" w:hAnsi="Arial"/>
                <w:sz w:val="16"/>
                <w:szCs w:val="16"/>
                <w:b w:val="1"/>
                <w:bCs w:val="1"/>
                <w:color w:val="auto"/>
              </w:rPr>
              <w:t>Non-GAAP income tax adjustment</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5"/>
              </w:rPr>
              <w:t>(0.57)</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rPr>
              <w:t>0.06</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5"/>
              </w:rPr>
              <w:t>(0.22)</w:t>
            </w:r>
          </w:p>
        </w:tc>
        <w:tc>
          <w:tcPr>
            <w:tcW w:w="1280" w:type="dxa"/>
            <w:vAlign w:val="bottom"/>
            <w:tcBorders>
              <w:bottom w:val="single" w:sz="8" w:color="3C3C3C"/>
              <w:right w:val="single" w:sz="8" w:color="B6B6B6"/>
            </w:tcBorders>
            <w:shd w:val="clear" w:color="auto" w:fill="FAF6EF"/>
          </w:tcPr>
          <w:p>
            <w:pPr>
              <w:jc w:val="center"/>
              <w:ind w:right="42"/>
              <w:spacing w:after="0"/>
              <w:rPr>
                <w:sz w:val="20"/>
                <w:szCs w:val="20"/>
                <w:color w:val="auto"/>
              </w:rPr>
            </w:pPr>
            <w:r>
              <w:rPr>
                <w:rFonts w:ascii="Arial" w:cs="Arial" w:eastAsia="Arial" w:hAnsi="Arial"/>
                <w:sz w:val="16"/>
                <w:szCs w:val="16"/>
                <w:color w:val="auto"/>
                <w:w w:val="95"/>
              </w:rPr>
              <w:t>(0.12)</w:t>
            </w:r>
          </w:p>
        </w:tc>
        <w:tc>
          <w:tcPr>
            <w:tcW w:w="1160" w:type="dxa"/>
            <w:vAlign w:val="bottom"/>
            <w:tcBorders>
              <w:bottom w:val="single" w:sz="8" w:color="3C3C3C"/>
            </w:tcBorders>
            <w:shd w:val="clear" w:color="auto" w:fill="FAF6EF"/>
          </w:tcPr>
          <w:p>
            <w:pPr>
              <w:jc w:val="center"/>
              <w:spacing w:after="0"/>
              <w:rPr>
                <w:sz w:val="20"/>
                <w:szCs w:val="20"/>
                <w:color w:val="auto"/>
              </w:rPr>
            </w:pPr>
            <w:r>
              <w:rPr>
                <w:rFonts w:ascii="Arial" w:cs="Arial" w:eastAsia="Arial" w:hAnsi="Arial"/>
                <w:sz w:val="16"/>
                <w:szCs w:val="16"/>
                <w:color w:val="auto"/>
                <w:w w:val="95"/>
              </w:rPr>
              <w:t>(0.57)</w:t>
            </w:r>
          </w:p>
        </w:tc>
        <w:tc>
          <w:tcPr>
            <w:tcW w:w="20" w:type="dxa"/>
            <w:vAlign w:val="bottom"/>
            <w:tcBorders>
              <w:bottom w:val="single" w:sz="8" w:color="B6B6B6"/>
            </w:tcBorders>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960" w:type="dxa"/>
            <w:vAlign w:val="bottom"/>
            <w:tcBorders>
              <w:left w:val="single" w:sz="8" w:color="B6B6B6"/>
              <w:right w:val="single" w:sz="8" w:color="B6B6B6"/>
            </w:tcBorders>
          </w:tcPr>
          <w:p>
            <w:pPr>
              <w:ind w:left="120"/>
              <w:spacing w:after="0"/>
              <w:rPr>
                <w:sz w:val="20"/>
                <w:szCs w:val="20"/>
                <w:color w:val="auto"/>
              </w:rPr>
            </w:pPr>
            <w:r>
              <w:rPr>
                <w:rFonts w:ascii="Arial" w:cs="Arial" w:eastAsia="Arial" w:hAnsi="Arial"/>
                <w:sz w:val="16"/>
                <w:szCs w:val="16"/>
                <w:b w:val="1"/>
                <w:bCs w:val="1"/>
                <w:color w:val="auto"/>
              </w:rPr>
              <w:t>Net income per share, diluted (Non-GAAP)</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b w:val="1"/>
                <w:bCs w:val="1"/>
                <w:color w:val="auto"/>
                <w:w w:val="99"/>
              </w:rPr>
              <w:t>$4.41</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b w:val="1"/>
                <w:bCs w:val="1"/>
                <w:color w:val="auto"/>
                <w:w w:val="99"/>
              </w:rPr>
              <w:t>$4.62</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b w:val="1"/>
                <w:bCs w:val="1"/>
                <w:color w:val="auto"/>
                <w:w w:val="99"/>
              </w:rPr>
              <w:t>$2.41</w:t>
            </w:r>
          </w:p>
        </w:tc>
        <w:tc>
          <w:tcPr>
            <w:tcW w:w="1280" w:type="dxa"/>
            <w:vAlign w:val="bottom"/>
            <w:tcBorders>
              <w:bottom w:val="single" w:sz="8" w:color="3C3C3C"/>
              <w:right w:val="single" w:sz="8" w:color="B6B6B6"/>
            </w:tcBorders>
          </w:tcPr>
          <w:p>
            <w:pPr>
              <w:jc w:val="center"/>
              <w:ind w:right="42"/>
              <w:spacing w:after="0"/>
              <w:rPr>
                <w:sz w:val="20"/>
                <w:szCs w:val="20"/>
                <w:color w:val="auto"/>
              </w:rPr>
            </w:pPr>
            <w:r>
              <w:rPr>
                <w:rFonts w:ascii="Arial" w:cs="Arial" w:eastAsia="Arial" w:hAnsi="Arial"/>
                <w:sz w:val="16"/>
                <w:szCs w:val="16"/>
                <w:b w:val="1"/>
                <w:bCs w:val="1"/>
                <w:color w:val="auto"/>
                <w:w w:val="99"/>
              </w:rPr>
              <w:t>$1.37</w:t>
            </w:r>
          </w:p>
        </w:tc>
        <w:tc>
          <w:tcPr>
            <w:tcW w:w="1160" w:type="dxa"/>
            <w:vAlign w:val="bottom"/>
            <w:tcBorders>
              <w:bottom w:val="single" w:sz="8" w:color="3C3C3C"/>
            </w:tcBorders>
          </w:tcPr>
          <w:p>
            <w:pPr>
              <w:jc w:val="center"/>
              <w:spacing w:after="0"/>
              <w:rPr>
                <w:sz w:val="20"/>
                <w:szCs w:val="20"/>
                <w:color w:val="auto"/>
              </w:rPr>
            </w:pPr>
            <w:r>
              <w:rPr>
                <w:rFonts w:ascii="Arial" w:cs="Arial" w:eastAsia="Arial" w:hAnsi="Arial"/>
                <w:sz w:val="16"/>
                <w:szCs w:val="16"/>
                <w:b w:val="1"/>
                <w:bCs w:val="1"/>
                <w:color w:val="auto"/>
                <w:w w:val="99"/>
              </w:rPr>
              <w:t>$0.95</w:t>
            </w:r>
          </w:p>
        </w:tc>
        <w:tc>
          <w:tcPr>
            <w:tcW w:w="20" w:type="dxa"/>
            <w:vAlign w:val="bottom"/>
            <w:tcBorders>
              <w:bottom w:val="single" w:sz="8" w:color="3C3C3C"/>
            </w:tcBorders>
            <w:shd w:val="clear" w:color="auto" w:fill="B6B6B6"/>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37321"/>
        </w:rPr>
        <w:t xml:space="preserve">Enphase Energy, Inc. </w:t>
      </w:r>
      <w:r>
        <w:rPr>
          <w:rFonts w:ascii="Arial" w:cs="Arial" w:eastAsia="Arial" w:hAnsi="Arial"/>
          <w:sz w:val="12"/>
          <w:szCs w:val="12"/>
          <w:color w:val="5F6062"/>
        </w:rPr>
        <w:t>| 2024 Proxy Statement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216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751" w:right="319" w:bottom="1440"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636270</wp:posOffset>
            </wp:positionV>
            <wp:extent cx="7162165" cy="8145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2165" cy="814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886460</wp:posOffset>
            </wp:positionH>
            <wp:positionV relativeFrom="page">
              <wp:posOffset>487045</wp:posOffset>
            </wp:positionV>
            <wp:extent cx="5775960" cy="74688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5775960" cy="74688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lvl w:ilvl="1">
      <w:lvlJc w:val="left"/>
      <w:lvlText w:val="☐"/>
      <w:numFmt w:val="bullet"/>
      <w:start w:val="1"/>
    </w:lvl>
  </w:abstractNum>
  <w:abstractNum w:abstractNumId="4">
    <w:nsid w:val="61574095"/>
    <w:multiLevelType w:val="hybridMultilevel"/>
    <w:lvl w:ilvl="0">
      <w:lvlJc w:val="left"/>
      <w:lvlText w:val="%1."/>
      <w:numFmt w:val="decimal"/>
      <w:start w:val="1"/>
    </w:lvl>
  </w:abstractNum>
  <w:abstractNum w:abstractNumId="5">
    <w:nsid w:val="7E0C57B1"/>
    <w:multiLevelType w:val="hybridMultilevel"/>
    <w:lvl w:ilvl="0">
      <w:lvlJc w:val="left"/>
      <w:lvlText w:val="1"/>
      <w:numFmt w:val="bullet"/>
      <w:start w:val="1"/>
    </w:lvl>
  </w:abstractNum>
  <w:abstractNum w:abstractNumId="6">
    <w:nsid w:val="77AE35EB"/>
    <w:multiLevelType w:val="hybridMultilevel"/>
    <w:lvl w:ilvl="0">
      <w:lvlJc w:val="left"/>
      <w:lvlText w:val="2"/>
      <w:numFmt w:val="bullet"/>
      <w:start w:val="1"/>
    </w:lvl>
  </w:abstractNum>
  <w:abstractNum w:abstractNumId="7">
    <w:nsid w:val="579BE4F1"/>
    <w:multiLevelType w:val="hybridMultilevel"/>
    <w:lvl w:ilvl="0">
      <w:lvlJc w:val="left"/>
      <w:lvlText w:val="3"/>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n"/>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1"/>
      <w:numFmt w:val="bullet"/>
      <w:start w:val="1"/>
    </w:lvl>
  </w:abstractNum>
  <w:abstractNum w:abstractNumId="22">
    <w:nsid w:val="799D0247"/>
    <w:multiLevelType w:val="hybridMultilevel"/>
    <w:lvl w:ilvl="0">
      <w:lvlJc w:val="left"/>
      <w:lvlText w:val="1"/>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n"/>
      <w:numFmt w:val="bullet"/>
      <w:start w:val="1"/>
    </w:lvl>
  </w:abstractNum>
  <w:abstractNum w:abstractNumId="25">
    <w:nsid w:val="168E121F"/>
    <w:multiLevelType w:val="hybridMultilevel"/>
    <w:lvl w:ilvl="0">
      <w:lvlJc w:val="left"/>
      <w:lvlText w:val="•"/>
      <w:numFmt w:val="bullet"/>
      <w:start w:val="1"/>
    </w:lvl>
    <w:lvl w:ilvl="1">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1"/>
      <w:numFmt w:val="bullet"/>
      <w:start w:val="1"/>
    </w:lvl>
  </w:abstractNum>
  <w:abstractNum w:abstractNumId="29">
    <w:nsid w:val="540A471C"/>
    <w:multiLevelType w:val="hybridMultilevel"/>
    <w:lvl w:ilvl="0">
      <w:lvlJc w:val="left"/>
      <w:lvlText w:val="2"/>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1"/>
      <w:numFmt w:val="bullet"/>
      <w:start w:val="1"/>
    </w:lvl>
  </w:abstractNum>
  <w:abstractNum w:abstractNumId="32">
    <w:nsid w:val="613EFDC5"/>
    <w:multiLevelType w:val="hybridMultilevel"/>
    <w:lvl w:ilvl="0">
      <w:lvlJc w:val="left"/>
      <w:lvlText w:val="2"/>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1"/>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1"/>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1"/>
      <w:numFmt w:val="bullet"/>
      <w:start w:val="1"/>
    </w:lvl>
  </w:abstractNum>
  <w:abstractNum w:abstractNumId="42">
    <w:nsid w:val="60B6DF70"/>
    <w:multiLevelType w:val="hybridMultilevel"/>
    <w:lvl w:ilvl="0">
      <w:lvlJc w:val="left"/>
      <w:lvlText w:val="1"/>
      <w:numFmt w:val="bullet"/>
      <w:start w:val="1"/>
    </w:lvl>
  </w:abstractNum>
  <w:abstractNum w:abstractNumId="43">
    <w:nsid w:val="6A5EE64"/>
    <w:multiLevelType w:val="hybridMultilevel"/>
    <w:lvl w:ilvl="0">
      <w:lvlJc w:val="left"/>
      <w:lvlText w:val="2"/>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1"/>
      <w:numFmt w:val="bullet"/>
      <w:start w:val="1"/>
    </w:lvl>
  </w:abstractNum>
  <w:abstractNum w:abstractNumId="46">
    <w:nsid w:val="1A27709E"/>
    <w:multiLevelType w:val="hybridMultilevel"/>
    <w:lvl w:ilvl="0">
      <w:lvlJc w:val="left"/>
      <w:lvlText w:val="2"/>
      <w:numFmt w:val="bullet"/>
      <w:start w:val="1"/>
    </w:lvl>
  </w:abstractNum>
  <w:abstractNum w:abstractNumId="47">
    <w:nsid w:val="71EA1109"/>
    <w:multiLevelType w:val="hybridMultilevel"/>
    <w:lvl w:ilvl="0">
      <w:lvlJc w:val="left"/>
      <w:lvlText w:val="3"/>
      <w:numFmt w:val="bullet"/>
      <w:start w:val="1"/>
    </w:lvl>
  </w:abstractNum>
  <w:abstractNum w:abstractNumId="48">
    <w:nsid w:val="100F59DC"/>
    <w:multiLevelType w:val="hybridMultilevel"/>
    <w:lvl w:ilvl="0">
      <w:lvlJc w:val="left"/>
      <w:lvlText w:val="4"/>
      <w:numFmt w:val="bullet"/>
      <w:start w:val="1"/>
    </w:lvl>
  </w:abstractNum>
  <w:abstractNum w:abstractNumId="49">
    <w:nsid w:val="7FB7E0AA"/>
    <w:multiLevelType w:val="hybridMultilevel"/>
    <w:lvl w:ilvl="0">
      <w:lvlJc w:val="left"/>
      <w:lvlText w:val="1"/>
      <w:numFmt w:val="bullet"/>
      <w:start w:val="1"/>
    </w:lvl>
  </w:abstractNum>
  <w:abstractNum w:abstractNumId="50">
    <w:nsid w:val="6EB5BD4"/>
    <w:multiLevelType w:val="hybridMultilevel"/>
    <w:lvl w:ilvl="0">
      <w:lvlJc w:val="left"/>
      <w:lvlText w:val="2"/>
      <w:numFmt w:val="bullet"/>
      <w:start w:val="1"/>
    </w:lvl>
  </w:abstractNum>
  <w:abstractNum w:abstractNumId="51">
    <w:nsid w:val="6F6DD9AC"/>
    <w:multiLevelType w:val="hybridMultilevel"/>
    <w:lvl w:ilvl="0">
      <w:lvlJc w:val="left"/>
      <w:lvlText w:val="3"/>
      <w:numFmt w:val="bullet"/>
      <w:start w:val="1"/>
    </w:lvl>
  </w:abstractNum>
  <w:abstractNum w:abstractNumId="52">
    <w:nsid w:val="94211F2"/>
    <w:multiLevelType w:val="hybridMultilevel"/>
    <w:lvl w:ilvl="0">
      <w:lvlJc w:val="left"/>
      <w:lvlText w:val="4"/>
      <w:numFmt w:val="bullet"/>
      <w:start w:val="1"/>
    </w:lvl>
  </w:abstractNum>
  <w:abstractNum w:abstractNumId="53">
    <w:nsid w:val="885E1B"/>
    <w:multiLevelType w:val="hybridMultilevel"/>
    <w:lvl w:ilvl="0">
      <w:lvlJc w:val="left"/>
      <w:lvlText w:val="5"/>
      <w:numFmt w:val="bullet"/>
      <w:start w:val="1"/>
    </w:lvl>
  </w:abstractNum>
  <w:abstractNum w:abstractNumId="54">
    <w:nsid w:val="76272110"/>
    <w:multiLevelType w:val="hybridMultilevel"/>
    <w:lvl w:ilvl="0">
      <w:lvlJc w:val="left"/>
      <w:lvlText w:val="6"/>
      <w:numFmt w:val="bullet"/>
      <w:start w:val="1"/>
    </w:lvl>
  </w:abstractNum>
  <w:abstractNum w:abstractNumId="55">
    <w:nsid w:val="4C04A8AF"/>
    <w:multiLevelType w:val="hybridMultilevel"/>
    <w:lvl w:ilvl="0">
      <w:lvlJc w:val="left"/>
      <w:lvlText w:val="7"/>
      <w:numFmt w:val="bullet"/>
      <w:start w:val="1"/>
    </w:lvl>
  </w:abstractNum>
  <w:abstractNum w:abstractNumId="56">
    <w:nsid w:val="1716703B"/>
    <w:multiLevelType w:val="hybridMultilevel"/>
    <w:lvl w:ilvl="0">
      <w:lvlJc w:val="left"/>
      <w:lvlText w:val="(%1)"/>
      <w:numFmt w:val="decimal"/>
      <w:start w:val="6"/>
    </w:lvl>
  </w:abstractNum>
  <w:abstractNum w:abstractNumId="57">
    <w:nsid w:val="14E17E33"/>
    <w:multiLevelType w:val="hybridMultilevel"/>
    <w:lvl w:ilvl="0">
      <w:lvlJc w:val="left"/>
      <w:lvlText w:val="(%1)"/>
      <w:numFmt w:val="decimal"/>
      <w:start w:val="6"/>
    </w:lvl>
  </w:abstractNum>
  <w:abstractNum w:abstractNumId="58">
    <w:nsid w:val="3222E7CD"/>
    <w:multiLevelType w:val="hybridMultilevel"/>
    <w:lvl w:ilvl="0">
      <w:lvlJc w:val="left"/>
      <w:lvlText w:val="(%1)"/>
      <w:numFmt w:val="decimal"/>
      <w:start w:val="7"/>
    </w:lvl>
  </w:abstractNum>
  <w:abstractNum w:abstractNumId="59">
    <w:nsid w:val="74DE0EE3"/>
    <w:multiLevelType w:val="hybridMultilevel"/>
    <w:lvl w:ilvl="0">
      <w:lvlJc w:val="left"/>
      <w:lvlText w:val="1"/>
      <w:numFmt w:val="bullet"/>
      <w:start w:val="1"/>
    </w:lvl>
  </w:abstractNum>
  <w:abstractNum w:abstractNumId="60">
    <w:nsid w:val="68EBC550"/>
    <w:multiLevelType w:val="hybridMultilevel"/>
    <w:lvl w:ilvl="0">
      <w:lvlJc w:val="left"/>
      <w:lvlText w:val="2"/>
      <w:numFmt w:val="bullet"/>
      <w:start w:val="1"/>
    </w:lvl>
  </w:abstractNum>
  <w:abstractNum w:abstractNumId="61">
    <w:nsid w:val="2DF6D648"/>
    <w:multiLevelType w:val="hybridMultilevel"/>
    <w:lvl w:ilvl="0">
      <w:lvlJc w:val="left"/>
      <w:lvlText w:val="3"/>
      <w:numFmt w:val="bullet"/>
      <w:start w:val="1"/>
    </w:lvl>
  </w:abstractNum>
  <w:abstractNum w:abstractNumId="62">
    <w:nsid w:val="46B7D447"/>
    <w:multiLevelType w:val="hybridMultilevel"/>
    <w:lvl w:ilvl="0">
      <w:lvlJc w:val="left"/>
      <w:lvlText w:val="4"/>
      <w:numFmt w:val="bullet"/>
      <w:start w:val="1"/>
    </w:lvl>
  </w:abstractNum>
  <w:abstractNum w:abstractNumId="63">
    <w:nsid w:val="4A2AC315"/>
    <w:multiLevelType w:val="hybridMultilevel"/>
    <w:lvl w:ilvl="0">
      <w:lvlJc w:val="left"/>
      <w:lvlText w:val="5"/>
      <w:numFmt w:val="bullet"/>
      <w:start w:val="1"/>
    </w:lvl>
  </w:abstractNum>
  <w:abstractNum w:abstractNumId="64">
    <w:nsid w:val="39EE015C"/>
    <w:multiLevelType w:val="hybridMultilevel"/>
    <w:lvl w:ilvl="0">
      <w:lvlJc w:val="left"/>
      <w:lvlText w:val="6"/>
      <w:numFmt w:val="bullet"/>
      <w:start w:val="1"/>
    </w:lvl>
  </w:abstractNum>
  <w:abstractNum w:abstractNumId="65">
    <w:nsid w:val="57FC4FBB"/>
    <w:multiLevelType w:val="hybridMultilevel"/>
    <w:lvl w:ilvl="0">
      <w:lvlJc w:val="left"/>
      <w:lvlText w:val="7"/>
      <w:numFmt w:val="bullet"/>
      <w:start w:val="1"/>
    </w:lvl>
  </w:abstractNum>
  <w:abstractNum w:abstractNumId="66">
    <w:nsid w:val="CC1016F"/>
    <w:multiLevelType w:val="hybridMultilevel"/>
    <w:lvl w:ilvl="0">
      <w:lvlJc w:val="left"/>
      <w:lvlText w:val="8"/>
      <w:numFmt w:val="bullet"/>
      <w:start w:val="1"/>
    </w:lvl>
  </w:abstractNum>
  <w:abstractNum w:abstractNumId="67">
    <w:nsid w:val="43F18422"/>
    <w:multiLevelType w:val="hybridMultilevel"/>
    <w:lvl w:ilvl="0">
      <w:lvlJc w:val="left"/>
      <w:lvlText w:val="1"/>
      <w:numFmt w:val="bullet"/>
      <w:start w:val="1"/>
    </w:lvl>
  </w:abstractNum>
  <w:abstractNum w:abstractNumId="68">
    <w:nsid w:val="60EF0119"/>
    <w:multiLevelType w:val="hybridMultilevel"/>
    <w:lvl w:ilvl="0">
      <w:lvlJc w:val="left"/>
      <w:lvlText w:val="2"/>
      <w:numFmt w:val="bullet"/>
      <w:start w:val="1"/>
    </w:lvl>
  </w:abstractNum>
  <w:abstractNum w:abstractNumId="69">
    <w:nsid w:val="26F324BA"/>
    <w:multiLevelType w:val="hybridMultilevel"/>
    <w:lvl w:ilvl="0">
      <w:lvlJc w:val="left"/>
      <w:lvlText w:val="3"/>
      <w:numFmt w:val="bullet"/>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1"/>
      <w:numFmt w:val="bullet"/>
      <w:start w:val="1"/>
    </w:lvl>
  </w:abstractNum>
  <w:abstractNum w:abstractNumId="73">
    <w:nsid w:val="5FB8370B"/>
    <w:multiLevelType w:val="hybridMultilevel"/>
    <w:lvl w:ilvl="0">
      <w:lvlJc w:val="left"/>
      <w:lvlText w:val="2"/>
      <w:numFmt w:val="bullet"/>
      <w:start w:val="1"/>
    </w:lvl>
  </w:abstractNum>
  <w:abstractNum w:abstractNumId="74">
    <w:nsid w:val="50801EE1"/>
    <w:multiLevelType w:val="hybridMultilevel"/>
    <w:lvl w:ilvl="0">
      <w:lvlJc w:val="left"/>
      <w:lvlText w:val="(%1)"/>
      <w:numFmt w:val="lowerRoman"/>
      <w:start w:val="3"/>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1"/>
      <w:numFmt w:val="bullet"/>
      <w:start w:val="1"/>
    </w:lvl>
  </w:abstractNum>
  <w:abstractNum w:abstractNumId="79">
    <w:nsid w:val="6FC75AF8"/>
    <w:multiLevelType w:val="hybridMultilevel"/>
    <w:lvl w:ilvl="0">
      <w:lvlJc w:val="left"/>
      <w:lvlText w:val="2"/>
      <w:numFmt w:val="bullet"/>
      <w:start w:val="1"/>
    </w:lvl>
  </w:abstractNum>
  <w:abstractNum w:abstractNumId="80">
    <w:nsid w:val="6A5F7029"/>
    <w:multiLevelType w:val="hybridMultilevel"/>
    <w:lvl w:ilvl="0">
      <w:lvlJc w:val="left"/>
      <w:lvlText w:val="3"/>
      <w:numFmt w:val="bullet"/>
      <w:start w:val="1"/>
    </w:lvl>
  </w:abstractNum>
  <w:abstractNum w:abstractNumId="81">
    <w:nsid w:val="7D5E18F8"/>
    <w:multiLevelType w:val="hybridMultilevel"/>
    <w:lvl w:ilvl="0">
      <w:lvlJc w:val="left"/>
      <w:lvlText w:val="4"/>
      <w:numFmt w:val="bullet"/>
      <w:start w:val="1"/>
    </w:lvl>
  </w:abstractNum>
  <w:abstractNum w:abstractNumId="82">
    <w:nsid w:val="5F3534A4"/>
    <w:multiLevelType w:val="hybridMultilevel"/>
    <w:lvl w:ilvl="0">
      <w:lvlJc w:val="left"/>
      <w:lvlText w:val="5"/>
      <w:numFmt w:val="bullet"/>
      <w:start w:val="1"/>
    </w:lvl>
  </w:abstractNum>
  <w:abstractNum w:abstractNumId="83">
    <w:nsid w:val="73A1821B"/>
    <w:multiLevelType w:val="hybridMultilevel"/>
    <w:lvl w:ilvl="0">
      <w:lvlJc w:val="left"/>
      <w:lvlText w:val="1"/>
      <w:numFmt w:val="bullet"/>
      <w:start w:val="1"/>
    </w:lvl>
  </w:abstractNum>
  <w:abstractNum w:abstractNumId="84">
    <w:nsid w:val="7DE67713"/>
    <w:multiLevelType w:val="hybridMultilevel"/>
    <w:lvl w:ilvl="0">
      <w:lvlJc w:val="left"/>
      <w:lvlText w:val="2"/>
      <w:numFmt w:val="bullet"/>
      <w:start w:val="1"/>
    </w:lvl>
  </w:abstractNum>
  <w:abstractNum w:abstractNumId="85">
    <w:nsid w:val="555C55B5"/>
    <w:multiLevelType w:val="hybridMultilevel"/>
    <w:lvl w:ilvl="0">
      <w:lvlJc w:val="left"/>
      <w:lvlText w:val="3"/>
      <w:numFmt w:val="bullet"/>
      <w:start w:val="1"/>
    </w:lvl>
  </w:abstractNum>
  <w:abstractNum w:abstractNumId="86">
    <w:nsid w:val="3FA62ACA"/>
    <w:multiLevelType w:val="hybridMultilevel"/>
    <w:lvl w:ilvl="0">
      <w:lvlJc w:val="left"/>
      <w:lvlText w:val="(%1)"/>
      <w:numFmt w:val="lowerRoman"/>
      <w:start w:val="1"/>
    </w:lvl>
  </w:abstractNum>
  <w:abstractNum w:abstractNumId="87">
    <w:nsid w:val="14FCE74E"/>
    <w:multiLevelType w:val="hybridMultilevel"/>
    <w:lvl w:ilvl="0">
      <w:lvlJc w:val="left"/>
      <w:lvlText w:val="4"/>
      <w:numFmt w:val="bullet"/>
      <w:start w:val="1"/>
    </w:lvl>
  </w:abstractNum>
  <w:abstractNum w:abstractNumId="88">
    <w:nsid w:val="6A3DD3E8"/>
    <w:multiLevelType w:val="hybridMultilevel"/>
    <w:lvl w:ilvl="0">
      <w:lvlJc w:val="left"/>
      <w:lvlText w:val="5"/>
      <w:numFmt w:val="bullet"/>
      <w:start w:val="1"/>
    </w:lvl>
  </w:abstractNum>
  <w:abstractNum w:abstractNumId="89">
    <w:nsid w:val="71C91298"/>
    <w:multiLevelType w:val="hybridMultilevel"/>
    <w:lvl w:ilvl="0">
      <w:lvlJc w:val="left"/>
      <w:lvlText w:val="6"/>
      <w:numFmt w:val="bullet"/>
      <w:start w:val="1"/>
    </w:lvl>
  </w:abstractNum>
  <w:abstractNum w:abstractNumId="90">
    <w:nsid w:val="9DAF632"/>
    <w:multiLevelType w:val="hybridMultilevel"/>
    <w:lvl w:ilvl="0">
      <w:lvlJc w:val="left"/>
      <w:lvlText w:val="1"/>
      <w:numFmt w:val="bullet"/>
      <w:start w:val="1"/>
    </w:lvl>
  </w:abstractNum>
  <w:abstractNum w:abstractNumId="91">
    <w:nsid w:val="53299938"/>
    <w:multiLevelType w:val="hybridMultilevel"/>
    <w:lvl w:ilvl="0">
      <w:lvlJc w:val="left"/>
      <w:lvlText w:val="2"/>
      <w:numFmt w:val="bullet"/>
      <w:start w:val="1"/>
    </w:lvl>
  </w:abstractNum>
  <w:abstractNum w:abstractNumId="92">
    <w:nsid w:val="1FBFE8E0"/>
    <w:multiLevelType w:val="hybridMultilevel"/>
    <w:lvl w:ilvl="0">
      <w:lvlJc w:val="left"/>
      <w:lvlText w:val="3"/>
      <w:numFmt w:val="bullet"/>
      <w:start w:val="1"/>
    </w:lvl>
  </w:abstractNum>
  <w:abstractNum w:abstractNumId="93">
    <w:nsid w:val="5092CA79"/>
    <w:multiLevelType w:val="hybridMultilevel"/>
    <w:lvl w:ilvl="0">
      <w:lvlJc w:val="left"/>
      <w:lvlText w:val="1"/>
      <w:numFmt w:val="bullet"/>
      <w:start w:val="1"/>
    </w:lvl>
  </w:abstractNum>
  <w:abstractNum w:abstractNumId="94">
    <w:nsid w:val="1D545C4D"/>
    <w:multiLevelType w:val="hybridMultilevel"/>
    <w:lvl w:ilvl="0">
      <w:lvlJc w:val="left"/>
      <w:lvlText w:val="2"/>
      <w:numFmt w:val="bullet"/>
      <w:start w:val="1"/>
    </w:lvl>
  </w:abstractNum>
  <w:abstractNum w:abstractNumId="95">
    <w:nsid w:val="59ADEA3D"/>
    <w:multiLevelType w:val="hybridMultilevel"/>
    <w:lvl w:ilvl="0">
      <w:lvlJc w:val="left"/>
      <w:lvlText w:val="3"/>
      <w:numFmt w:val="bullet"/>
      <w:start w:val="1"/>
    </w:lvl>
  </w:abstractNum>
  <w:abstractNum w:abstractNumId="96">
    <w:nsid w:val="288F1A34"/>
    <w:multiLevelType w:val="hybridMultilevel"/>
    <w:lvl w:ilvl="0">
      <w:lvlJc w:val="left"/>
      <w:lvlText w:val="•"/>
      <w:numFmt w:val="bullet"/>
      <w:start w:val="1"/>
    </w:lvl>
  </w:abstractNum>
  <w:abstractNum w:abstractNumId="97">
    <w:nsid w:val="2A155DBC"/>
    <w:multiLevelType w:val="hybridMultilevel"/>
    <w:lvl w:ilvl="0">
      <w:lvlJc w:val="left"/>
      <w:lvlText w:val="\emdash "/>
      <w:numFmt w:val="bullet"/>
      <w:start w:val="1"/>
    </w:lvl>
  </w:abstractNum>
  <w:abstractNum w:abstractNumId="98">
    <w:nsid w:val="1D9F6E5F"/>
    <w:multiLevelType w:val="hybridMultilevel"/>
    <w:lvl w:ilvl="0">
      <w:lvlJc w:val="left"/>
      <w:lvlText w:val="%1"/>
      <w:numFmt w:val="decimal"/>
      <w:start w:val="405"/>
    </w:lvl>
  </w:abstractNum>
  <w:abstractNum w:abstractNumId="99">
    <w:nsid w:val="97E1B4E"/>
    <w:multiLevelType w:val="hybridMultilevel"/>
    <w:lvl w:ilvl="0">
      <w:lvlJc w:val="left"/>
      <w:lvlText w:val="(%1)"/>
      <w:numFmt w:val="lowerRoman"/>
      <w:start w:val="4"/>
    </w:lvl>
  </w:abstractNum>
  <w:abstractNum w:abstractNumId="100">
    <w:nsid w:val="51088277"/>
    <w:multiLevelType w:val="hybridMultilevel"/>
    <w:lvl w:ilvl="0">
      <w:lvlJc w:val="left"/>
      <w:lvlText w:val="*"/>
      <w:numFmt w:val="bullet"/>
      <w:start w:val="1"/>
    </w:lvl>
  </w:abstractNum>
  <w:abstractNum w:abstractNumId="101">
    <w:nsid w:val="1CA0C5FA"/>
    <w:multiLevelType w:val="hybridMultilevel"/>
    <w:lvl w:ilvl="0">
      <w:lvlJc w:val="left"/>
      <w:lvlText w:val="1"/>
      <w:numFmt w:val="bullet"/>
      <w:start w:val="1"/>
    </w:lvl>
  </w:abstractNum>
  <w:abstractNum w:abstractNumId="102">
    <w:nsid w:val="53584BCB"/>
    <w:multiLevelType w:val="hybridMultilevel"/>
    <w:lvl w:ilvl="0">
      <w:lvlJc w:val="left"/>
      <w:lvlText w:val="2"/>
      <w:numFmt w:val="bullet"/>
      <w:start w:val="1"/>
    </w:lvl>
  </w:abstractNum>
  <w:abstractNum w:abstractNumId="103">
    <w:nsid w:val="415E286C"/>
    <w:multiLevelType w:val="hybridMultilevel"/>
    <w:lvl w:ilvl="0">
      <w:lvlJc w:val="left"/>
      <w:lvlText w:val="3"/>
      <w:numFmt w:val="bullet"/>
      <w:start w:val="1"/>
    </w:lvl>
  </w:abstractNum>
  <w:abstractNum w:abstractNumId="104">
    <w:nsid w:val="7C58FD05"/>
    <w:multiLevelType w:val="hybridMultilevel"/>
    <w:lvl w:ilvl="0">
      <w:lvlJc w:val="left"/>
      <w:lvlText w:val="4"/>
      <w:numFmt w:val="bullet"/>
      <w:start w:val="1"/>
    </w:lvl>
  </w:abstractNum>
  <w:abstractNum w:abstractNumId="105">
    <w:nsid w:val="23D86AAC"/>
    <w:multiLevelType w:val="hybridMultilevel"/>
    <w:lvl w:ilvl="0">
      <w:lvlJc w:val="left"/>
      <w:lvlText w:val="5"/>
      <w:numFmt w:val="bullet"/>
      <w:start w:val="1"/>
    </w:lvl>
  </w:abstractNum>
  <w:abstractNum w:abstractNumId="106">
    <w:nsid w:val="45E6D486"/>
    <w:multiLevelType w:val="hybridMultilevel"/>
    <w:lvl w:ilvl="0">
      <w:lvlJc w:val="left"/>
      <w:lvlText w:val="6"/>
      <w:numFmt w:val="bullet"/>
      <w:start w:val="1"/>
    </w:lvl>
  </w:abstractNum>
  <w:abstractNum w:abstractNumId="107">
    <w:nsid w:val="5C10FE21"/>
    <w:multiLevelType w:val="hybridMultilevel"/>
    <w:lvl w:ilvl="0">
      <w:lvlJc w:val="left"/>
      <w:lvlText w:val="8"/>
      <w:numFmt w:val="bullet"/>
      <w:start w:val="1"/>
    </w:lvl>
  </w:abstractNum>
  <w:abstractNum w:abstractNumId="108">
    <w:nsid w:val="E7FFA2B"/>
    <w:multiLevelType w:val="hybridMultilevel"/>
    <w:lvl w:ilvl="0">
      <w:lvlJc w:val="left"/>
      <w:lvlText w:val="9"/>
      <w:numFmt w:val="bullet"/>
      <w:start w:val="1"/>
    </w:lvl>
  </w:abstractNum>
  <w:abstractNum w:abstractNumId="109">
    <w:nsid w:val="3C5991AA"/>
    <w:multiLevelType w:val="hybridMultilevel"/>
    <w:lvl w:ilvl="0">
      <w:lvlJc w:val="left"/>
      <w:lvlText w:val="%1"/>
      <w:numFmt w:val="decimal"/>
      <w:start w:val="10"/>
    </w:lvl>
  </w:abstractNum>
  <w:abstractNum w:abstractNumId="110">
    <w:nsid w:val="4BD8591A"/>
    <w:multiLevelType w:val="hybridMultilevel"/>
    <w:lvl w:ilvl="0">
      <w:lvlJc w:val="left"/>
      <w:lvlText w:val="1"/>
      <w:numFmt w:val="bullet"/>
      <w:start w:val="1"/>
    </w:lvl>
  </w:abstractNum>
  <w:abstractNum w:abstractNumId="111">
    <w:nsid w:val="78DF6A55"/>
    <w:multiLevelType w:val="hybridMultilevel"/>
    <w:lvl w:ilvl="0">
      <w:lvlJc w:val="left"/>
      <w:lvlText w:val="2"/>
      <w:numFmt w:val="bullet"/>
      <w:start w:val="1"/>
    </w:lvl>
  </w:abstractNum>
  <w:abstractNum w:abstractNumId="112">
    <w:nsid w:val="39B7AAA2"/>
    <w:multiLevelType w:val="hybridMultilevel"/>
    <w:lvl w:ilvl="0">
      <w:lvlJc w:val="left"/>
      <w:lvlText w:val="3"/>
      <w:numFmt w:val="bullet"/>
      <w:start w:val="1"/>
    </w:lvl>
  </w:abstractNum>
  <w:abstractNum w:abstractNumId="113">
    <w:nsid w:val="2B0D8DBE"/>
    <w:multiLevelType w:val="hybridMultilevel"/>
    <w:lvl w:ilvl="0">
      <w:lvlJc w:val="left"/>
      <w:lvlText w:val="•"/>
      <w:numFmt w:val="bullet"/>
      <w:start w:val="1"/>
    </w:lvl>
  </w:abstractNum>
  <w:abstractNum w:abstractNumId="114">
    <w:nsid w:val="6C80EC70"/>
    <w:multiLevelType w:val="hybridMultilevel"/>
    <w:lvl w:ilvl="0">
      <w:lvlJc w:val="left"/>
      <w:lvlText w:val="•"/>
      <w:numFmt w:val="bullet"/>
      <w:start w:val="1"/>
    </w:lvl>
  </w:abstractNum>
  <w:abstractNum w:abstractNumId="115">
    <w:nsid w:val="379E21B5"/>
    <w:multiLevelType w:val="hybridMultilevel"/>
    <w:lvl w:ilvl="0">
      <w:lvlJc w:val="left"/>
      <w:lvlText w:val="•"/>
      <w:numFmt w:val="bullet"/>
      <w:start w:val="1"/>
    </w:lvl>
    <w:lvl w:ilvl="1">
      <w:lvlJc w:val="left"/>
      <w:lvlText w:val="\endash "/>
      <w:numFmt w:val="bullet"/>
      <w:start w:val="1"/>
    </w:lvl>
  </w:abstractNum>
  <w:abstractNum w:abstractNumId="116">
    <w:nsid w:val="69E373"/>
    <w:multiLevelType w:val="hybridMultilevel"/>
    <w:lvl w:ilvl="0">
      <w:lvlJc w:val="left"/>
      <w:lvlText w:val="•"/>
      <w:numFmt w:val="bullet"/>
      <w:start w:val="1"/>
    </w:lvl>
  </w:abstractNum>
  <w:abstractNum w:abstractNumId="117">
    <w:nsid w:val="2C27173B"/>
    <w:multiLevelType w:val="hybridMultilevel"/>
    <w:lvl w:ilvl="0">
      <w:lvlJc w:val="left"/>
      <w:lvlText w:val="•"/>
      <w:numFmt w:val="bullet"/>
      <w:start w:val="1"/>
    </w:lvl>
  </w:abstractNum>
  <w:abstractNum w:abstractNumId="118">
    <w:nsid w:val="4C9B09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2024-04-04T15:12:02Z</dcterms:created>
  <dcterms:modified xsi:type="dcterms:W3CDTF">2024-04-04T15:12:02Z</dcterms:modified>
</cp:coreProperties>
</file>